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9" w:rsidRDefault="00BA0FC9" w:rsidP="00BA0FC9">
      <w:pPr>
        <w:pStyle w:val="Naslov1"/>
        <w:tabs>
          <w:tab w:val="left" w:pos="7601"/>
        </w:tabs>
        <w:jc w:val="center"/>
      </w:pPr>
      <w:bookmarkStart w:id="0" w:name="_GoBack"/>
      <w:bookmarkEnd w:id="0"/>
      <w:r>
        <w:t>MINISTARSTVO PRAVOSUĐA</w:t>
      </w:r>
    </w:p>
    <w:p w:rsidR="00BA0FC9" w:rsidRDefault="00BA0FC9" w:rsidP="00BA0FC9">
      <w:pPr>
        <w:pStyle w:val="StandardWeb"/>
        <w:jc w:val="right"/>
      </w:pPr>
      <w:r>
        <w:br/>
        <w:t>2815</w:t>
      </w:r>
    </w:p>
    <w:p w:rsidR="00BA0FC9" w:rsidRDefault="00BA0FC9" w:rsidP="00BA0FC9">
      <w:pPr>
        <w:pStyle w:val="StandardWeb"/>
      </w:pPr>
      <w:r>
        <w:t>Na temelju članka 129. stavak 4. Zakona o sudovima („Narodne novine“, broj 28/13), ministar pravosuđa donosi</w:t>
      </w:r>
    </w:p>
    <w:p w:rsidR="00BA0FC9" w:rsidRPr="00716446" w:rsidRDefault="00BA0FC9" w:rsidP="00BA0FC9">
      <w:pPr>
        <w:pStyle w:val="Naslov2"/>
        <w:jc w:val="center"/>
        <w:rPr>
          <w:sz w:val="28"/>
          <w:szCs w:val="28"/>
        </w:rPr>
      </w:pPr>
      <w:r w:rsidRPr="00716446">
        <w:rPr>
          <w:sz w:val="28"/>
          <w:szCs w:val="28"/>
        </w:rPr>
        <w:t>PRAVILNIK</w:t>
      </w:r>
    </w:p>
    <w:p w:rsidR="00BA0FC9" w:rsidRPr="00716446" w:rsidRDefault="00BA0FC9" w:rsidP="00BA0FC9">
      <w:pPr>
        <w:pStyle w:val="Naslov3"/>
        <w:jc w:val="center"/>
        <w:rPr>
          <w:sz w:val="28"/>
          <w:szCs w:val="28"/>
        </w:rPr>
      </w:pPr>
      <w:r w:rsidRPr="00716446">
        <w:rPr>
          <w:sz w:val="28"/>
          <w:szCs w:val="28"/>
        </w:rPr>
        <w:t xml:space="preserve">O STALNIM SUDSKIM </w:t>
      </w:r>
      <w:r>
        <w:rPr>
          <w:sz w:val="28"/>
          <w:szCs w:val="28"/>
        </w:rPr>
        <w:t>PROCJENITELJIMA</w:t>
      </w:r>
    </w:p>
    <w:p w:rsidR="00BA0FC9" w:rsidRDefault="00BA0FC9" w:rsidP="00BA0FC9">
      <w:pPr>
        <w:pStyle w:val="StandardWeb"/>
        <w:jc w:val="center"/>
      </w:pPr>
      <w:r>
        <w:t>Članak 1.</w:t>
      </w:r>
    </w:p>
    <w:p w:rsidR="00BA0FC9" w:rsidRDefault="00BA0FC9" w:rsidP="00BA0FC9">
      <w:pPr>
        <w:pStyle w:val="StandardWeb"/>
        <w:jc w:val="both"/>
      </w:pPr>
      <w:r>
        <w:t>Ovim Pravilnikom utvrđuju se uvjeti i postupak imenovanja stalnih sudskih procjenitelja, njihova prava i dužnosti te visina naknade troškova i nagrade za njihov rad.</w:t>
      </w:r>
    </w:p>
    <w:p w:rsidR="00BA0FC9" w:rsidRDefault="00BA0FC9" w:rsidP="00BA0FC9">
      <w:pPr>
        <w:pStyle w:val="StandardWeb"/>
        <w:jc w:val="both"/>
      </w:pPr>
    </w:p>
    <w:p w:rsidR="00BA0FC9" w:rsidRDefault="00BA0FC9" w:rsidP="00BA0FC9">
      <w:pPr>
        <w:jc w:val="center"/>
      </w:pPr>
      <w:r>
        <w:t>UVJETI ZA OBAVLJANJE POSLOVA STALNIH SUDSKIH PROCJENITELJA</w:t>
      </w:r>
      <w:r>
        <w:br/>
      </w:r>
    </w:p>
    <w:p w:rsidR="00BA0FC9" w:rsidRDefault="00BA0FC9" w:rsidP="00BA0FC9">
      <w:pPr>
        <w:jc w:val="center"/>
      </w:pPr>
      <w:r>
        <w:t>Članak 2.</w:t>
      </w:r>
    </w:p>
    <w:p w:rsidR="00BA0FC9" w:rsidRDefault="00BA0FC9" w:rsidP="00BA0FC9">
      <w:pPr>
        <w:jc w:val="both"/>
      </w:pPr>
      <w:r>
        <w:br/>
        <w:t>Za stalnog sudskog procjenitelja može biti imenovana osoba za koju se u postupku imenovanja utvrdi da ispunjava  sljedeće uvjete:</w:t>
      </w:r>
    </w:p>
    <w:p w:rsidR="00BA0FC9" w:rsidRDefault="00BA0FC9" w:rsidP="00BA0FC9">
      <w:pPr>
        <w:jc w:val="both"/>
      </w:pPr>
      <w:r>
        <w:br/>
        <w:t xml:space="preserve">1. da je državljanin Republike Hrvatske, državljanin države članice Europske unije ili državljanin države potpisnice </w:t>
      </w:r>
      <w:r w:rsidRPr="00C67CC6">
        <w:t>Sporazuma o Europskom gospodarskom prostoru,</w:t>
      </w:r>
    </w:p>
    <w:p w:rsidR="00BA0FC9" w:rsidRDefault="00BA0FC9" w:rsidP="00BA0FC9">
      <w:pPr>
        <w:jc w:val="both"/>
      </w:pPr>
      <w:r>
        <w:br/>
        <w:t>2. da je zdravstveno sposobna za obavljanje poslova stalnog sudskog procjenitelja,</w:t>
      </w:r>
    </w:p>
    <w:p w:rsidR="00BA0FC9" w:rsidRDefault="00BA0FC9" w:rsidP="00BA0FC9"/>
    <w:p w:rsidR="00BA0FC9" w:rsidRPr="00041A47" w:rsidRDefault="00BA0FC9" w:rsidP="00BA0FC9">
      <w:pPr>
        <w:jc w:val="both"/>
        <w:rPr>
          <w:color w:val="000000"/>
        </w:rPr>
      </w:pPr>
      <w:r w:rsidRPr="00041A47">
        <w:rPr>
          <w:color w:val="000000"/>
        </w:rPr>
        <w:t>3. da je nakon završenog odgovarajućeg studija odnosno odgovarajuće škole radila na poslovima u struci i to:</w:t>
      </w:r>
    </w:p>
    <w:p w:rsidR="00BA0FC9" w:rsidRPr="00041A47" w:rsidRDefault="00BA0FC9" w:rsidP="00BA0FC9">
      <w:pPr>
        <w:rPr>
          <w:color w:val="000000"/>
        </w:rPr>
      </w:pPr>
    </w:p>
    <w:p w:rsidR="00BA0FC9" w:rsidRPr="00041A47" w:rsidRDefault="00BA0FC9" w:rsidP="00BA0FC9">
      <w:pPr>
        <w:jc w:val="both"/>
      </w:pPr>
      <w:r w:rsidRPr="00041A47">
        <w:rPr>
          <w:color w:val="000000"/>
        </w:rPr>
        <w:t xml:space="preserve">– najmanje </w:t>
      </w:r>
      <w:r w:rsidRPr="00041A47">
        <w:t xml:space="preserve">8 godina – ako je završila diplomski sveučilišni studij ili specijalistički diplomski stručni studij, </w:t>
      </w:r>
    </w:p>
    <w:p w:rsidR="00BA0FC9" w:rsidRPr="00041A47" w:rsidRDefault="00BA0FC9" w:rsidP="00BA0FC9">
      <w:pPr>
        <w:jc w:val="both"/>
      </w:pPr>
      <w:r w:rsidRPr="00041A47">
        <w:t>– najmanje 10 godina – ako je završila odgovarajući preddiplomski sveučilišni studij ili preddiplomski stručni studij,</w:t>
      </w:r>
    </w:p>
    <w:p w:rsidR="00BA0FC9" w:rsidRPr="00041A47" w:rsidRDefault="00BA0FC9" w:rsidP="00BA0FC9">
      <w:pPr>
        <w:jc w:val="both"/>
      </w:pPr>
      <w:r w:rsidRPr="00041A47">
        <w:t>– najmanje 12 godina -  ako je završila odgovarajuću srednju školu, a za pojedinu struku nema odgovarajućeg preddiplomskog sveučilišnog studija ili preddiplomskog stručnog studija odnosno diplomskog sveučilišnog studija ili specijalističkog diplomskog stručnog studija,</w:t>
      </w:r>
    </w:p>
    <w:p w:rsidR="00BA0FC9" w:rsidRPr="00041A47" w:rsidRDefault="00BA0FC9" w:rsidP="00BA0FC9">
      <w:pPr>
        <w:jc w:val="both"/>
        <w:rPr>
          <w:strike/>
        </w:rPr>
      </w:pPr>
    </w:p>
    <w:p w:rsidR="00BA0FC9" w:rsidRPr="00041A47" w:rsidRDefault="00BA0FC9" w:rsidP="00BA0FC9">
      <w:pPr>
        <w:jc w:val="both"/>
      </w:pPr>
      <w:r w:rsidRPr="00041A47">
        <w:t>4. da je uspješno završila stručnu obuku,</w:t>
      </w:r>
    </w:p>
    <w:p w:rsidR="00BA0FC9" w:rsidRPr="00041A47" w:rsidRDefault="00BA0FC9" w:rsidP="00BA0FC9">
      <w:pPr>
        <w:jc w:val="both"/>
        <w:rPr>
          <w:strike/>
        </w:rPr>
      </w:pPr>
    </w:p>
    <w:p w:rsidR="00BA0FC9" w:rsidRDefault="00BA0FC9" w:rsidP="00BA0FC9">
      <w:pPr>
        <w:jc w:val="both"/>
      </w:pPr>
      <w:r w:rsidRPr="00041A47">
        <w:t>5. da ima sklopljen ugovor o osiguranju od odgovornosti za obavljanje poslova stalnog sudskog procjenitelja.</w:t>
      </w:r>
    </w:p>
    <w:p w:rsidR="00BA0FC9" w:rsidRDefault="00BA0FC9" w:rsidP="00BA0FC9">
      <w:pPr>
        <w:jc w:val="both"/>
      </w:pPr>
      <w:r>
        <w:br/>
      </w:r>
      <w:r w:rsidRPr="00604B96">
        <w:t xml:space="preserve">Za stalnog sudskog </w:t>
      </w:r>
      <w:r>
        <w:t>procjenitelja</w:t>
      </w:r>
      <w:r w:rsidRPr="00604B96">
        <w:t xml:space="preserve"> ne može se imenovati osoba za koju postoje zapreke za prijam u državnu službu.</w:t>
      </w:r>
    </w:p>
    <w:p w:rsidR="00BA0FC9" w:rsidRPr="00041A47" w:rsidRDefault="00BA0FC9" w:rsidP="00BA0FC9">
      <w:pPr>
        <w:jc w:val="center"/>
      </w:pPr>
      <w:r w:rsidRPr="00041A47">
        <w:lastRenderedPageBreak/>
        <w:t>Članak 3.</w:t>
      </w:r>
      <w:r w:rsidRPr="00041A47">
        <w:br/>
      </w:r>
    </w:p>
    <w:p w:rsidR="00BA0FC9" w:rsidRPr="00041A47" w:rsidRDefault="00BA0FC9" w:rsidP="00BA0FC9">
      <w:pPr>
        <w:jc w:val="both"/>
      </w:pPr>
      <w:r w:rsidRPr="00041A47">
        <w:t>Državljani država članica Europske unije ili država potpisnica Sporazuma o Europskom gospodarskom prostoru koji su u svojoj matičnoj državi imenovani za stalne sudske procjenitelje u Republici Hrvatskoj obavljaju poslove stalnih sudskih procjenitelja u skladu s odlukom o imenovanju koju je donijelo nadležno tijelo u njihovoj matičnoj državi, na temelju rješenja Ministarstva pravosuđa kojim im se odobrava obavljanje poslova sudskog procjenjivanja.</w:t>
      </w:r>
    </w:p>
    <w:p w:rsidR="00BA0FC9" w:rsidRPr="00041A47" w:rsidRDefault="00BA0FC9" w:rsidP="00BA0FC9"/>
    <w:p w:rsidR="00BA0FC9" w:rsidRPr="00041A47" w:rsidRDefault="00BA0FC9" w:rsidP="00BA0FC9">
      <w:pPr>
        <w:jc w:val="center"/>
      </w:pPr>
      <w:r w:rsidRPr="00041A47">
        <w:t>Članak 4.</w:t>
      </w:r>
    </w:p>
    <w:p w:rsidR="00BA0FC9" w:rsidRPr="00041A47" w:rsidRDefault="00BA0FC9" w:rsidP="00BA0FC9">
      <w:pPr>
        <w:jc w:val="both"/>
      </w:pPr>
      <w:r w:rsidRPr="00194DF5">
        <w:rPr>
          <w:highlight w:val="yellow"/>
        </w:rPr>
        <w:br/>
      </w:r>
      <w:r w:rsidRPr="00041A47">
        <w:t>Pravne osobe ispunjavaju uvjete za obavljanje poslova sudskog procjenjivanja:</w:t>
      </w:r>
    </w:p>
    <w:p w:rsidR="00BA0FC9" w:rsidRPr="00041A47" w:rsidRDefault="00BA0FC9" w:rsidP="00BA0FC9">
      <w:pPr>
        <w:jc w:val="both"/>
      </w:pPr>
      <w:r w:rsidRPr="00041A47">
        <w:br/>
        <w:t>– ako su u svojoj djelatnosti registrirane i za obavljanje procjenjivanja, što dokazuju rješenjem iz nadležnog sudskog registra,</w:t>
      </w:r>
    </w:p>
    <w:p w:rsidR="00BA0FC9" w:rsidRPr="00041A47" w:rsidRDefault="00BA0FC9" w:rsidP="00BA0FC9">
      <w:pPr>
        <w:jc w:val="both"/>
      </w:pPr>
      <w:r w:rsidRPr="00041A47">
        <w:br/>
        <w:t>– ako je utvrđeno da su njihovi zaposlenici imenovani stalnim sudskim procjeniteljima, što se dokazuje rješenjem o imenovanju za stalne sudske procjenitelje za područje određenog županijskog odnosno trgovačkog suda,</w:t>
      </w:r>
    </w:p>
    <w:p w:rsidR="00BA0FC9" w:rsidRPr="00041A47" w:rsidRDefault="00BA0FC9" w:rsidP="00BA0FC9">
      <w:pPr>
        <w:jc w:val="both"/>
      </w:pPr>
      <w:r w:rsidRPr="00041A47">
        <w:br/>
        <w:t>– ako za zaposlenike koji su imenovani stalnim sudskim procjeniteljima imaju zaključen ugovor o osiguranju od odgovornosti za obavljanje poslova stalnog sudskog procjenitelja.</w:t>
      </w:r>
    </w:p>
    <w:p w:rsidR="00BA0FC9" w:rsidRDefault="00BA0FC9" w:rsidP="00BA0FC9">
      <w:pPr>
        <w:jc w:val="both"/>
      </w:pPr>
      <w:r w:rsidRPr="00041A47">
        <w:br/>
        <w:t xml:space="preserve">Na način propisan stavkom 1. podstavkom 1. i 2. ovog članka utvrđuje se ispunjava li pravna osoba, poseban zavod ili drugo tijelo znanstvene ustanove odnosno državno tijelo uvjete za obavljanje poslova sudskog </w:t>
      </w:r>
      <w:r w:rsidR="00904432" w:rsidRPr="00041A47">
        <w:t>procjenjivanja</w:t>
      </w:r>
      <w:r w:rsidRPr="00041A47">
        <w:t>.</w:t>
      </w:r>
    </w:p>
    <w:p w:rsidR="00BA0FC9" w:rsidRDefault="00BA0FC9" w:rsidP="00BA0FC9">
      <w:pPr>
        <w:jc w:val="center"/>
      </w:pPr>
    </w:p>
    <w:p w:rsidR="00BA0FC9" w:rsidRDefault="00BA0FC9" w:rsidP="00BA0FC9">
      <w:pPr>
        <w:jc w:val="center"/>
      </w:pPr>
      <w:r>
        <w:t>POSTUPAK IMENOVANJA</w:t>
      </w:r>
    </w:p>
    <w:p w:rsidR="00BA0FC9" w:rsidRDefault="00BA0FC9" w:rsidP="00BA0FC9">
      <w:pPr>
        <w:jc w:val="center"/>
      </w:pPr>
    </w:p>
    <w:p w:rsidR="00BA0FC9" w:rsidRDefault="00BA0FC9" w:rsidP="00BA0FC9">
      <w:pPr>
        <w:jc w:val="center"/>
      </w:pPr>
      <w:r>
        <w:t>Članak 5.</w:t>
      </w:r>
    </w:p>
    <w:p w:rsidR="00BA0FC9" w:rsidRDefault="00BA0FC9" w:rsidP="00BA0FC9">
      <w:pPr>
        <w:jc w:val="both"/>
      </w:pPr>
      <w:r>
        <w:br/>
        <w:t xml:space="preserve">Postupak imenovanja stalnih sudskih </w:t>
      </w:r>
      <w:r w:rsidR="00904432">
        <w:t>procjenitelja</w:t>
      </w:r>
      <w:r>
        <w:t xml:space="preserve"> pokreće se zahtjevom koji se podnosi predsjedniku županijskog ili trgovačkog suda nadležnog prema prebivalištu podnositelja zahtjeva odnosno sjedištu pravne osobe.</w:t>
      </w:r>
    </w:p>
    <w:p w:rsidR="00BA0FC9" w:rsidRDefault="00BA0FC9" w:rsidP="00BA0FC9">
      <w:pPr>
        <w:jc w:val="both"/>
      </w:pPr>
      <w:r>
        <w:br/>
        <w:t xml:space="preserve">Fizička osoba zahtjevu prilaže životopis te dokaze o ispunjavanju uvjeta </w:t>
      </w:r>
      <w:r w:rsidRPr="00455803">
        <w:t>za imenovanje</w:t>
      </w:r>
      <w:r>
        <w:t xml:space="preserve"> iz članka 2. ovog Pravilnika. </w:t>
      </w:r>
      <w:r w:rsidRPr="00041A47">
        <w:t>Zahtjevu se može priložiti popis objavljenih znanstvenih i stručnih radova.</w:t>
      </w:r>
      <w:r>
        <w:t xml:space="preserve"> 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 xml:space="preserve">Državljani država članica Europske unije ili država potpisnica Sporazuma o Europskom gospodarskom prostoru dužni su dokaze o ispunjavanju uvjeta iz članka 2. ovog Pravilnika priložiti u izvorniku ili ovjerenoj preslici te ovjerenom prijevodu na hrvatski jezik. </w:t>
      </w:r>
    </w:p>
    <w:p w:rsidR="00BA0FC9" w:rsidRDefault="00BA0FC9" w:rsidP="00BA0FC9">
      <w:pPr>
        <w:jc w:val="both"/>
      </w:pPr>
      <w:r>
        <w:br/>
      </w:r>
      <w:r w:rsidRPr="00041A47">
        <w:t>Zahtjev može podnijeti i pravna osoba za svog zaposlenika pod uvjetom da je zaposlenik dao svoj pristanak u pisanom obliku i da ispunjava uvjete iz članka 2. ovog Pravilnika.</w:t>
      </w:r>
    </w:p>
    <w:p w:rsidR="00041A47" w:rsidRPr="00041A47" w:rsidRDefault="00041A47" w:rsidP="00BA0FC9">
      <w:pPr>
        <w:jc w:val="both"/>
      </w:pPr>
    </w:p>
    <w:p w:rsidR="00BA0FC9" w:rsidRDefault="00BA0FC9" w:rsidP="00BA0FC9">
      <w:pPr>
        <w:jc w:val="both"/>
      </w:pPr>
      <w:r w:rsidRPr="00041A47">
        <w:rPr>
          <w:color w:val="000000"/>
        </w:rPr>
        <w:t xml:space="preserve">Predsjednik suda procijenit će kada se za sudskog </w:t>
      </w:r>
      <w:r w:rsidR="00904432" w:rsidRPr="00041A47">
        <w:rPr>
          <w:color w:val="000000"/>
        </w:rPr>
        <w:t>procjenitelja</w:t>
      </w:r>
      <w:r w:rsidRPr="00041A47">
        <w:rPr>
          <w:color w:val="000000"/>
        </w:rPr>
        <w:t xml:space="preserve"> može imenovati osoba iz članka 2. stavak 1. točka 3. podstavak 3. ovog Pravilnika.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lastRenderedPageBreak/>
        <w:t xml:space="preserve">Ako predsjednik županijskog odnosno trgovačkog suda utvrdi da podnositelj zahtjeva ne ispunjava uvjete iz članka 2. ovoga Pravilnika ili da je zahtjev nepotpun, odbacit će ga </w:t>
      </w:r>
      <w:r w:rsidRPr="00334BD0">
        <w:t>rješenjem.</w:t>
      </w:r>
    </w:p>
    <w:p w:rsidR="00BA0FC9" w:rsidRDefault="00BA0FC9" w:rsidP="00BA0FC9">
      <w:pPr>
        <w:jc w:val="center"/>
      </w:pPr>
    </w:p>
    <w:p w:rsidR="00BA0FC9" w:rsidRDefault="00BA0FC9" w:rsidP="00BA0FC9">
      <w:pPr>
        <w:jc w:val="both"/>
      </w:pPr>
      <w:r>
        <w:t>Protiv rješenja iz stavka 5. ovog članka dopuštena je žalba Ministarstvu pravosuđa u roku od 15 dana od dana dostave rješenja.</w:t>
      </w:r>
    </w:p>
    <w:p w:rsidR="00BA0FC9" w:rsidRDefault="00BA0FC9" w:rsidP="00BA0FC9">
      <w:pPr>
        <w:jc w:val="center"/>
      </w:pPr>
    </w:p>
    <w:p w:rsidR="00BA0FC9" w:rsidRPr="00041A47" w:rsidRDefault="00BA0FC9" w:rsidP="00BA0FC9">
      <w:pPr>
        <w:jc w:val="center"/>
      </w:pPr>
      <w:r w:rsidRPr="00041A47">
        <w:t>Članak 6.</w:t>
      </w:r>
    </w:p>
    <w:p w:rsidR="00BA0FC9" w:rsidRPr="00041A47" w:rsidRDefault="00BA0FC9" w:rsidP="00BA0FC9">
      <w:pPr>
        <w:jc w:val="both"/>
        <w:rPr>
          <w:color w:val="FF0000"/>
        </w:rPr>
      </w:pPr>
    </w:p>
    <w:p w:rsidR="00BA0FC9" w:rsidRPr="00041A47" w:rsidRDefault="00BA0FC9" w:rsidP="00BA0FC9">
      <w:pPr>
        <w:jc w:val="both"/>
      </w:pPr>
      <w:r w:rsidRPr="00041A47">
        <w:t xml:space="preserve">Ako kandidat za stalnog sudskog </w:t>
      </w:r>
      <w:r w:rsidR="00904432" w:rsidRPr="00041A47">
        <w:t>procjenitelja</w:t>
      </w:r>
      <w:r w:rsidRPr="00041A47">
        <w:t xml:space="preserve"> ispunjava uvjete iz članka 2. ovog Pravilnika, predsjednik odgovarajućeg županijskog odnosno trgovačkog suda prije donošenja odluke o imenovanju za stalnog sudskog </w:t>
      </w:r>
      <w:r w:rsidR="006F15CC" w:rsidRPr="00041A47">
        <w:t>procjenitelja</w:t>
      </w:r>
      <w:r w:rsidRPr="00041A47">
        <w:t xml:space="preserve"> uputit će kandidata na stručnu obuku u odgovarajuću strukovnu udrugu stalnih sudskih </w:t>
      </w:r>
      <w:r w:rsidR="00904432" w:rsidRPr="00041A47">
        <w:t>procjenitelja</w:t>
      </w:r>
      <w:r w:rsidRPr="00041A47">
        <w:t xml:space="preserve">.  </w:t>
      </w:r>
    </w:p>
    <w:p w:rsidR="00BA0FC9" w:rsidRPr="00041A47" w:rsidRDefault="00BA0FC9" w:rsidP="00BA0FC9"/>
    <w:p w:rsidR="00BA0FC9" w:rsidRPr="00041A47" w:rsidRDefault="00BA0FC9" w:rsidP="00BA0FC9">
      <w:r w:rsidRPr="00041A47">
        <w:t>Stručna obuka obavljat će se prema programu što ga utvrđuje odgovarajuća strukovna udruga.</w:t>
      </w:r>
    </w:p>
    <w:p w:rsidR="00BA0FC9" w:rsidRPr="00041A47" w:rsidRDefault="00BA0FC9" w:rsidP="00BA0FC9"/>
    <w:p w:rsidR="00BA0FC9" w:rsidRPr="00041A47" w:rsidRDefault="00BA0FC9" w:rsidP="00BA0FC9">
      <w:r w:rsidRPr="00041A47">
        <w:t>Stručna obuka ne može trajati dulje od jedne godine.</w:t>
      </w:r>
    </w:p>
    <w:p w:rsidR="00BA0FC9" w:rsidRDefault="00BA0FC9" w:rsidP="00BA0FC9">
      <w:pPr>
        <w:pStyle w:val="t-9-8"/>
        <w:jc w:val="both"/>
      </w:pPr>
      <w:r w:rsidRPr="00041A47">
        <w:t xml:space="preserve">Strukovne udruge dužne su imenovati mentore za stručnu obuku. Za mentora se može imenovati stalni sudski </w:t>
      </w:r>
      <w:r w:rsidR="00904432" w:rsidRPr="00041A47">
        <w:t>procjenitelj</w:t>
      </w:r>
      <w:r w:rsidRPr="00041A47">
        <w:t xml:space="preserve"> koji ima najmanje pet godina iskustva u obavljanju poslova sudskog </w:t>
      </w:r>
      <w:r w:rsidR="00904432" w:rsidRPr="00041A47">
        <w:t>procjenjivanja</w:t>
      </w:r>
      <w:r w:rsidRPr="00041A47">
        <w:t>. Popis mentora dostavlja se županijskim i trgovačkim sudovima.</w:t>
      </w:r>
    </w:p>
    <w:p w:rsidR="00BA0FC9" w:rsidRPr="00041A47" w:rsidRDefault="00BA0FC9" w:rsidP="00BA0FC9">
      <w:pPr>
        <w:jc w:val="center"/>
      </w:pPr>
      <w:r w:rsidRPr="00041A47">
        <w:t>Članak 7.</w:t>
      </w:r>
    </w:p>
    <w:p w:rsidR="00BA0FC9" w:rsidRPr="00041A47" w:rsidRDefault="00BA0FC9" w:rsidP="00BA0FC9">
      <w:pPr>
        <w:jc w:val="center"/>
      </w:pPr>
    </w:p>
    <w:p w:rsidR="00BA0FC9" w:rsidRPr="00041A47" w:rsidRDefault="00BA0FC9" w:rsidP="00BA0FC9">
      <w:r w:rsidRPr="00041A47">
        <w:t xml:space="preserve">Sposobnost kandidata za obavljanje poslova stalnog sudskog </w:t>
      </w:r>
      <w:r w:rsidR="00904432" w:rsidRPr="00041A47">
        <w:t>procjenitelja</w:t>
      </w:r>
      <w:r w:rsidRPr="00041A47">
        <w:t xml:space="preserve"> utvrđuje se na temelju izvješća o provedenoj stručnoj obuci kod stalnog sudskog </w:t>
      </w:r>
      <w:r w:rsidR="00904432" w:rsidRPr="00041A47">
        <w:t>procjenitelja</w:t>
      </w:r>
      <w:r w:rsidRPr="00041A47">
        <w:t xml:space="preserve"> pod čijim je nadzorom kandidat dužan obaviti najmanje pet </w:t>
      </w:r>
      <w:r w:rsidR="00904432" w:rsidRPr="00041A47">
        <w:t>procjena</w:t>
      </w:r>
      <w:r w:rsidRPr="00041A47">
        <w:t>.</w:t>
      </w:r>
    </w:p>
    <w:p w:rsidR="00BA0FC9" w:rsidRPr="00041A47" w:rsidRDefault="00BA0FC9" w:rsidP="00BA0FC9"/>
    <w:p w:rsidR="00BA0FC9" w:rsidRPr="00041A47" w:rsidRDefault="00BA0FC9" w:rsidP="00BA0FC9">
      <w:pPr>
        <w:jc w:val="both"/>
      </w:pPr>
      <w:r w:rsidRPr="00041A47">
        <w:t xml:space="preserve">Nakon obavljene stručne obuke odgovarajuća strukovna udruga dužna je na temelju izvješća stalnog sudskog </w:t>
      </w:r>
      <w:r w:rsidR="00904432" w:rsidRPr="00041A47">
        <w:t>procjenitelja</w:t>
      </w:r>
      <w:r w:rsidRPr="00041A47">
        <w:t xml:space="preserve"> kod kojeg je kandidat bio na stručnoj obuci (mentora) u roku od mjesec dana izraditi mišljenje u pisanom obliku o uspješnosti obavljene obuke i osposobljenosti kandidata za obavljanje poslova sudskog </w:t>
      </w:r>
      <w:r w:rsidR="00904432" w:rsidRPr="00041A47">
        <w:t>procjenjivanja</w:t>
      </w:r>
      <w:r w:rsidRPr="00041A47">
        <w:t xml:space="preserve"> i dostaviti ga predsjedniku odgovarajućeg županijskog odnosno trgovačkog suda.</w:t>
      </w:r>
    </w:p>
    <w:p w:rsidR="00BA0FC9" w:rsidRPr="00041A47" w:rsidRDefault="00BA0FC9" w:rsidP="00BA0FC9">
      <w:pPr>
        <w:jc w:val="both"/>
        <w:rPr>
          <w:color w:val="FF0000"/>
        </w:rPr>
      </w:pPr>
    </w:p>
    <w:p w:rsidR="00BA0FC9" w:rsidRPr="00041A47" w:rsidRDefault="00BA0FC9" w:rsidP="00BA0FC9">
      <w:pPr>
        <w:jc w:val="both"/>
      </w:pPr>
      <w:r w:rsidRPr="00041A47">
        <w:t xml:space="preserve">U mišljenju o obavljenoj stručnoj obuci mora se navesti naziv suda i poslovni broj svakog predmeta u kojima je kandidat sudjelovao u izradi mišljenja i nalaza, kao i ime i prezime stalnog sudskog </w:t>
      </w:r>
      <w:r w:rsidR="00904432" w:rsidRPr="00041A47">
        <w:t>procjenitelja</w:t>
      </w:r>
      <w:r w:rsidRPr="00041A47">
        <w:t xml:space="preserve"> kod kojeg je kandidat obavljao stručnu obuku.</w:t>
      </w:r>
    </w:p>
    <w:p w:rsidR="00BA0FC9" w:rsidRPr="00041A47" w:rsidRDefault="00BA0FC9" w:rsidP="00BA0FC9">
      <w:pPr>
        <w:pStyle w:val="t-9-8"/>
        <w:jc w:val="center"/>
      </w:pPr>
      <w:r w:rsidRPr="00041A47">
        <w:t>Članak 8.</w:t>
      </w:r>
    </w:p>
    <w:p w:rsidR="00BA0FC9" w:rsidRPr="00041A47" w:rsidRDefault="00BA0FC9" w:rsidP="00BA0FC9">
      <w:pPr>
        <w:pStyle w:val="t-9-8"/>
        <w:jc w:val="both"/>
      </w:pPr>
      <w:r w:rsidRPr="00041A47">
        <w:t>Strukovne udruge dužne su županijske i trgovačke sudove izvijestiti o programima stručne obuke i godišnjem rasporedu održavanja stručne obuke.</w:t>
      </w:r>
    </w:p>
    <w:p w:rsidR="00BA0FC9" w:rsidRDefault="00BA0FC9" w:rsidP="00BA0FC9">
      <w:pPr>
        <w:pStyle w:val="t-9-8"/>
        <w:jc w:val="both"/>
      </w:pPr>
      <w:r w:rsidRPr="00041A47">
        <w:t xml:space="preserve">Nadzor nad provođenjem stručne obuke stalnih sudskih </w:t>
      </w:r>
      <w:r w:rsidR="00904432" w:rsidRPr="00041A47">
        <w:t>procjenitelja</w:t>
      </w:r>
      <w:r w:rsidRPr="00041A47">
        <w:t xml:space="preserve"> u odgovarajućoj strukovnoj udruzi obavljaju Ministarstvo pravosuđa i nadležni županijski odnosno trgovački sud prema rasporedu kojeg donosi ministar pravosuđa. O provedenom nadzoru sastavlja se pisano izvješće.</w:t>
      </w:r>
    </w:p>
    <w:p w:rsidR="00194DF5" w:rsidRPr="00A61A06" w:rsidRDefault="00194DF5" w:rsidP="00BA0FC9">
      <w:pPr>
        <w:pStyle w:val="t-9-8"/>
        <w:jc w:val="both"/>
      </w:pPr>
    </w:p>
    <w:p w:rsidR="00BA0FC9" w:rsidRPr="00041A47" w:rsidRDefault="00BA0FC9" w:rsidP="00BA0FC9">
      <w:pPr>
        <w:jc w:val="center"/>
      </w:pPr>
      <w:r w:rsidRPr="00041A47">
        <w:lastRenderedPageBreak/>
        <w:t>Članak 9.</w:t>
      </w:r>
    </w:p>
    <w:p w:rsidR="00BA0FC9" w:rsidRPr="00041A47" w:rsidRDefault="00BA0FC9" w:rsidP="00BA0FC9">
      <w:pPr>
        <w:jc w:val="both"/>
      </w:pPr>
      <w:r w:rsidRPr="00041A47">
        <w:br/>
        <w:t xml:space="preserve">Prije imenovanja za stalnog sudskog </w:t>
      </w:r>
      <w:r w:rsidR="00904432" w:rsidRPr="00041A47">
        <w:t>procjenitelja</w:t>
      </w:r>
      <w:r w:rsidRPr="00041A47">
        <w:t xml:space="preserve"> kandidat je dužan predsjedniku županijskog odnosno trgovačkog suda koji je nadležan za njegovo imenovanje dostaviti dokaz o sklopljenom ugovoru o obveznom osiguranju od odgovornosti za obavljanje poslova stalnog sudskog </w:t>
      </w:r>
      <w:r w:rsidR="00904432" w:rsidRPr="00041A47">
        <w:t>procjenitelja</w:t>
      </w:r>
      <w:r w:rsidRPr="00041A47">
        <w:t xml:space="preserve">. Kandidat mora biti osiguran tijekom cijelog razdoblja na koje je imenovan za stalnog sudskog </w:t>
      </w:r>
      <w:r w:rsidR="00904432" w:rsidRPr="00041A47">
        <w:t>procjenitelja</w:t>
      </w:r>
      <w:r w:rsidRPr="00041A47">
        <w:t>.</w:t>
      </w:r>
    </w:p>
    <w:p w:rsidR="00BA0FC9" w:rsidRPr="00041A47" w:rsidRDefault="00BA0FC9" w:rsidP="00BA0FC9">
      <w:pPr>
        <w:jc w:val="both"/>
      </w:pPr>
      <w:r w:rsidRPr="00041A47">
        <w:br/>
        <w:t>Najniža svota osiguranja iznosi 200.000,00 kuna.</w:t>
      </w:r>
    </w:p>
    <w:p w:rsidR="00BA0FC9" w:rsidRPr="00041A47" w:rsidRDefault="00BA0FC9" w:rsidP="00BA0FC9">
      <w:pPr>
        <w:jc w:val="both"/>
      </w:pPr>
      <w:r w:rsidRPr="00041A47">
        <w:br/>
        <w:t xml:space="preserve">Na početku svake kalendarske godine imenovani stalni sudski </w:t>
      </w:r>
      <w:r w:rsidR="00904432" w:rsidRPr="00041A47">
        <w:t>procjenitelj</w:t>
      </w:r>
      <w:r w:rsidRPr="00041A47">
        <w:t xml:space="preserve"> dužan je predsjedniku nadležnog županijskog odnosno trgovačkog suda dostaviti dokaz o zaključenom ugovoru o osiguranju za tekuću godinu.</w:t>
      </w:r>
    </w:p>
    <w:p w:rsidR="00BA0FC9" w:rsidRPr="00041A47" w:rsidRDefault="00BA0FC9" w:rsidP="00BA0FC9">
      <w:pPr>
        <w:jc w:val="both"/>
      </w:pPr>
      <w:r w:rsidRPr="00041A47">
        <w:br/>
        <w:t xml:space="preserve">Odredbe stavka 1., 2. i 3. ovog članka smisleno se primjenjuju i na pravne osobe koje su registrirane za obavljanje </w:t>
      </w:r>
      <w:r w:rsidR="00904432" w:rsidRPr="00041A47">
        <w:t>procjenjivanja</w:t>
      </w:r>
      <w:r w:rsidRPr="00041A47">
        <w:t>.</w:t>
      </w:r>
    </w:p>
    <w:p w:rsidR="00BA0FC9" w:rsidRPr="00041A47" w:rsidRDefault="00BA0FC9" w:rsidP="00BA0FC9">
      <w:pPr>
        <w:jc w:val="both"/>
      </w:pPr>
    </w:p>
    <w:p w:rsidR="00BA0FC9" w:rsidRPr="00041A47" w:rsidRDefault="00BA0FC9" w:rsidP="00BA0FC9">
      <w:pPr>
        <w:jc w:val="both"/>
      </w:pPr>
      <w:r w:rsidRPr="00041A47">
        <w:t xml:space="preserve">Stalni sudski </w:t>
      </w:r>
      <w:r w:rsidR="00904432" w:rsidRPr="00041A47">
        <w:t>procjenitelj</w:t>
      </w:r>
      <w:r w:rsidRPr="00041A47">
        <w:t xml:space="preserve"> može se i dodatno osigurati od odgovornosti za obavljanje poslova stalnog sudskog </w:t>
      </w:r>
      <w:r w:rsidR="00904432" w:rsidRPr="00041A47">
        <w:t>procjenitelja</w:t>
      </w:r>
      <w:r w:rsidRPr="00041A47">
        <w:t xml:space="preserve"> za pojedini slučaj, ovisno o predmetu u kojem obavlja </w:t>
      </w:r>
      <w:r w:rsidR="00904432" w:rsidRPr="00041A47">
        <w:t>procjenu</w:t>
      </w:r>
      <w:r w:rsidRPr="00041A47">
        <w:t xml:space="preserve">.  </w:t>
      </w:r>
    </w:p>
    <w:p w:rsidR="00BA0FC9" w:rsidRPr="00041A47" w:rsidRDefault="00BA0FC9" w:rsidP="00BA0FC9">
      <w:pPr>
        <w:jc w:val="both"/>
      </w:pPr>
    </w:p>
    <w:p w:rsidR="00BA0FC9" w:rsidRPr="0010285E" w:rsidRDefault="00BA0FC9" w:rsidP="00BA0FC9">
      <w:pPr>
        <w:jc w:val="both"/>
      </w:pPr>
      <w:r w:rsidRPr="00041A47">
        <w:t xml:space="preserve">Državljanin države članice Europske unije ili države potpisnice Sporazuma o Europskom gospodarskom prostoru može se osigurati od odgovornosti za obavljanje poslova stalnog sudskog </w:t>
      </w:r>
      <w:r w:rsidR="00904432" w:rsidRPr="00041A47">
        <w:t>procjenitelja</w:t>
      </w:r>
      <w:r w:rsidRPr="00041A47">
        <w:t xml:space="preserve"> i u svojoj matičnoj državi.</w:t>
      </w:r>
    </w:p>
    <w:p w:rsidR="00BA0FC9" w:rsidRPr="00A61A06" w:rsidRDefault="00BA0FC9" w:rsidP="00BA0FC9">
      <w:pPr>
        <w:jc w:val="both"/>
        <w:rPr>
          <w:b/>
        </w:rPr>
      </w:pPr>
    </w:p>
    <w:p w:rsidR="00BA0FC9" w:rsidRPr="00A61A06" w:rsidRDefault="00BA0FC9" w:rsidP="00BA0FC9">
      <w:pPr>
        <w:jc w:val="center"/>
      </w:pPr>
      <w:r w:rsidRPr="00A61A06">
        <w:t>Članak 1</w:t>
      </w:r>
      <w:r>
        <w:t>0</w:t>
      </w:r>
      <w:r w:rsidRPr="00A61A06">
        <w:t>.</w:t>
      </w:r>
    </w:p>
    <w:p w:rsidR="00BA0FC9" w:rsidRDefault="00BA0FC9" w:rsidP="00BA0FC9">
      <w:pPr>
        <w:jc w:val="both"/>
      </w:pPr>
      <w:r>
        <w:br/>
        <w:t xml:space="preserve">Nakon završene stručne obuke i prikupljenih dokaza o ispunjavanju uvjeta za imenovanje stalnim sudskim </w:t>
      </w:r>
      <w:r w:rsidR="00904432">
        <w:t>procjeniteljem</w:t>
      </w:r>
      <w:r>
        <w:t>, predsjednik odgovarajućeg županijskog odnosno trgovačkog suda odlučit će o zahtjevu.</w:t>
      </w:r>
    </w:p>
    <w:p w:rsidR="00BA0FC9" w:rsidRDefault="00BA0FC9" w:rsidP="00BA0FC9">
      <w:pPr>
        <w:jc w:val="both"/>
      </w:pPr>
      <w:r>
        <w:br/>
        <w:t>O zahtjevu se odlučuje rješenjem.</w:t>
      </w:r>
    </w:p>
    <w:p w:rsidR="00BA0FC9" w:rsidRDefault="00BA0FC9" w:rsidP="00BA0FC9">
      <w:pPr>
        <w:jc w:val="both"/>
      </w:pPr>
    </w:p>
    <w:p w:rsidR="00BA0FC9" w:rsidRPr="00B56943" w:rsidRDefault="00BA0FC9" w:rsidP="00BA0FC9">
      <w:pPr>
        <w:jc w:val="both"/>
      </w:pPr>
      <w:r w:rsidRPr="00B56943">
        <w:t xml:space="preserve">Stalni sudski </w:t>
      </w:r>
      <w:r w:rsidR="00904432">
        <w:t>procjenitelj</w:t>
      </w:r>
      <w:r w:rsidRPr="00B56943">
        <w:t xml:space="preserve"> imenuje se na vrijeme od četiri godine.</w:t>
      </w:r>
    </w:p>
    <w:p w:rsidR="00BA0FC9" w:rsidRDefault="00BA0FC9" w:rsidP="00BA0FC9">
      <w:pPr>
        <w:jc w:val="both"/>
      </w:pPr>
      <w:r w:rsidRPr="00F960F2">
        <w:rPr>
          <w:color w:val="FF0000"/>
        </w:rPr>
        <w:br/>
      </w:r>
      <w:r>
        <w:t xml:space="preserve">Protiv rješenja kojim je odbijen zahtjev za imenovanje stalnim sudskim </w:t>
      </w:r>
      <w:r w:rsidR="00904432">
        <w:t>procjeniteljem</w:t>
      </w:r>
      <w:r>
        <w:t xml:space="preserve"> dopuštena je žalba Ministarstvu pravosuđa u roku od 15 dana od dostave rješenja.</w:t>
      </w:r>
    </w:p>
    <w:p w:rsidR="00BA0FC9" w:rsidRPr="00B56943" w:rsidRDefault="00BA0FC9" w:rsidP="00BA0FC9"/>
    <w:p w:rsidR="00BA0FC9" w:rsidRPr="00404C3F" w:rsidRDefault="00BA0FC9" w:rsidP="00BA0FC9">
      <w:pPr>
        <w:jc w:val="center"/>
      </w:pPr>
      <w:r w:rsidRPr="00404C3F">
        <w:t>Članak 11.</w:t>
      </w:r>
    </w:p>
    <w:p w:rsidR="00BA0FC9" w:rsidRPr="00404C3F" w:rsidRDefault="00BA0FC9" w:rsidP="00BA0FC9">
      <w:pPr>
        <w:jc w:val="both"/>
      </w:pPr>
      <w:r w:rsidRPr="00404C3F">
        <w:br/>
        <w:t xml:space="preserve">Imenovani stalni sudski </w:t>
      </w:r>
      <w:r w:rsidR="00904432" w:rsidRPr="00404C3F">
        <w:t>procjenitelj</w:t>
      </w:r>
      <w:r w:rsidRPr="00404C3F">
        <w:t xml:space="preserve"> daje prisegu pred predsjednikom suda koji ga je imenovao za </w:t>
      </w:r>
      <w:r w:rsidR="00194DF5" w:rsidRPr="00404C3F">
        <w:t>procjenitelja</w:t>
      </w:r>
      <w:r w:rsidRPr="00404C3F">
        <w:t>.</w:t>
      </w:r>
    </w:p>
    <w:p w:rsidR="00BA0FC9" w:rsidRPr="00404C3F" w:rsidRDefault="00BA0FC9" w:rsidP="00BA0FC9">
      <w:r w:rsidRPr="00404C3F">
        <w:br/>
        <w:t>Sadržaj prisege glasi:</w:t>
      </w:r>
      <w:r w:rsidRPr="00404C3F">
        <w:br/>
        <w:t>„Prisežem svojom čašću da ću povjeren</w:t>
      </w:r>
      <w:r w:rsidR="00904432" w:rsidRPr="00404C3F">
        <w:t>e</w:t>
      </w:r>
      <w:r w:rsidRPr="00404C3F">
        <w:t xml:space="preserve"> mi </w:t>
      </w:r>
      <w:r w:rsidR="00904432" w:rsidRPr="00404C3F">
        <w:t>procjene</w:t>
      </w:r>
      <w:r w:rsidRPr="00404C3F">
        <w:t xml:space="preserve"> obavljati sa</w:t>
      </w:r>
      <w:r w:rsidRPr="00404C3F">
        <w:softHyphen/>
        <w:t>vjes</w:t>
      </w:r>
      <w:r w:rsidRPr="00404C3F">
        <w:softHyphen/>
        <w:t>no i prema svom najboljem znanju, a svoje nalaze i mišljenja iznijeti točno, potpuno i objektivno, sukladno pravilima struke.“</w:t>
      </w:r>
    </w:p>
    <w:p w:rsidR="00BA0FC9" w:rsidRDefault="00BA0FC9" w:rsidP="00BA0FC9">
      <w:pPr>
        <w:jc w:val="both"/>
      </w:pPr>
      <w:r w:rsidRPr="00404C3F">
        <w:br/>
        <w:t xml:space="preserve">Stalni sudski </w:t>
      </w:r>
      <w:r w:rsidR="00904432" w:rsidRPr="00404C3F">
        <w:t>procjenitelj</w:t>
      </w:r>
      <w:r w:rsidRPr="00404C3F">
        <w:t xml:space="preserve"> potpisat će prisegu.</w:t>
      </w:r>
    </w:p>
    <w:p w:rsidR="00404C3F" w:rsidRDefault="00404C3F" w:rsidP="00BA0FC9">
      <w:pPr>
        <w:jc w:val="both"/>
      </w:pPr>
    </w:p>
    <w:p w:rsidR="00BA0FC9" w:rsidRDefault="00BA0FC9" w:rsidP="00BA0FC9">
      <w:pPr>
        <w:jc w:val="center"/>
      </w:pPr>
      <w:r>
        <w:lastRenderedPageBreak/>
        <w:br/>
        <w:t>Članak 12.</w:t>
      </w:r>
    </w:p>
    <w:p w:rsidR="00BA0FC9" w:rsidRPr="00B32165" w:rsidRDefault="00BA0FC9" w:rsidP="00BA0FC9">
      <w:pPr>
        <w:jc w:val="both"/>
        <w:rPr>
          <w:color w:val="FF0000"/>
        </w:rPr>
      </w:pPr>
      <w:r>
        <w:br/>
        <w:t xml:space="preserve">Nakon proteka vremena na </w:t>
      </w:r>
      <w:r w:rsidR="00904432">
        <w:t>koje je imenovan stalni sudski procjenitelj</w:t>
      </w:r>
      <w:r>
        <w:t xml:space="preserve"> može biti ponovno imenovan na vrijeme od četiri godine.</w:t>
      </w:r>
      <w:r>
        <w:rPr>
          <w:color w:val="FF0000"/>
        </w:rPr>
        <w:t xml:space="preserve"> </w:t>
      </w:r>
    </w:p>
    <w:p w:rsidR="00BA0FC9" w:rsidRDefault="00BA0FC9" w:rsidP="00BA0FC9">
      <w:pPr>
        <w:jc w:val="both"/>
      </w:pPr>
      <w:r>
        <w:br/>
        <w:t>Zahtjev za ponovno imenovanje podnosi se najkasnije 30 dana prije isteka roka na koje je imenovan.</w:t>
      </w:r>
    </w:p>
    <w:p w:rsidR="00BA0FC9" w:rsidRPr="00B56943" w:rsidRDefault="00BA0FC9" w:rsidP="00BA0FC9">
      <w:pPr>
        <w:jc w:val="both"/>
      </w:pPr>
      <w:r>
        <w:br/>
        <w:t xml:space="preserve">Uz zahtjev za ponovno imenovanje kandidat je dužan dostaviti dokaz iz članka 2. stavak 1. točka 2. ovog </w:t>
      </w:r>
      <w:r w:rsidRPr="00B56943">
        <w:t>Pravilnika</w:t>
      </w:r>
      <w:r>
        <w:t xml:space="preserve">. </w:t>
      </w:r>
      <w:r w:rsidRPr="00041A47">
        <w:t xml:space="preserve">Zahtjevu se prilaže i popis predmeta u kojima je obavio </w:t>
      </w:r>
      <w:r w:rsidR="00904432" w:rsidRPr="00041A47">
        <w:t>procjene</w:t>
      </w:r>
      <w:r w:rsidRPr="00041A47">
        <w:t xml:space="preserve"> i potvrdu o stručnom usavršavanju.</w:t>
      </w:r>
      <w:r w:rsidRPr="00B56943">
        <w:t xml:space="preserve"> </w:t>
      </w:r>
    </w:p>
    <w:p w:rsidR="00BA0FC9" w:rsidRDefault="00BA0FC9" w:rsidP="00BA0FC9">
      <w:pPr>
        <w:jc w:val="both"/>
      </w:pPr>
      <w:r>
        <w:br/>
        <w:t xml:space="preserve">Za stalnog sudskog </w:t>
      </w:r>
      <w:r w:rsidR="00904432">
        <w:t>procjenitelja</w:t>
      </w:r>
      <w:r>
        <w:t xml:space="preserve"> ne može se ponovno imenovati osoba </w:t>
      </w:r>
      <w:r w:rsidRPr="0010285E">
        <w:t>za koju postoje zapreke za prijam u državnu službu.</w:t>
      </w:r>
      <w:r>
        <w:t xml:space="preserve"> Prije ponovnog imenovanja za stalnog sudskog </w:t>
      </w:r>
      <w:r w:rsidR="00904432">
        <w:t>procjenitelja</w:t>
      </w:r>
      <w:r>
        <w:t xml:space="preserve"> predsjednik nadležnog županijskog odnosno trgovačkog suda utvrdit će da se protiv kandidata ne vodi kazneni postupak i da nije pravomoćno osuđen za kazneno djelo koje je zapreka za prijam u državnu službu.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>Predsjednik suda donijet će rješenje o ponovnom imenovanju.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>Protiv rješenja  iz stavka 5. ovog članka dopuštena je žalba Ministarstvu pravosuđa u roku od 15 dana od dana dostave rješenja.</w:t>
      </w:r>
    </w:p>
    <w:p w:rsidR="00BA0FC9" w:rsidRDefault="00BA0FC9" w:rsidP="00BA0FC9">
      <w:pPr>
        <w:pStyle w:val="t-9-8"/>
        <w:jc w:val="both"/>
        <w:rPr>
          <w:color w:val="000000"/>
        </w:rPr>
      </w:pPr>
      <w:r>
        <w:rPr>
          <w:color w:val="000000"/>
        </w:rPr>
        <w:t>U postupku ponovnog imenovanja staln</w:t>
      </w:r>
      <w:r w:rsidR="00904432">
        <w:rPr>
          <w:color w:val="000000"/>
        </w:rPr>
        <w:t>i</w:t>
      </w:r>
      <w:r>
        <w:rPr>
          <w:color w:val="000000"/>
        </w:rPr>
        <w:t xml:space="preserve"> sudsk</w:t>
      </w:r>
      <w:r w:rsidR="00904432">
        <w:rPr>
          <w:color w:val="000000"/>
        </w:rPr>
        <w:t>i</w:t>
      </w:r>
      <w:r>
        <w:rPr>
          <w:color w:val="000000"/>
        </w:rPr>
        <w:t xml:space="preserve"> </w:t>
      </w:r>
      <w:r w:rsidR="00904432">
        <w:rPr>
          <w:color w:val="000000"/>
        </w:rPr>
        <w:t>procjenitelj</w:t>
      </w:r>
      <w:r>
        <w:rPr>
          <w:color w:val="000000"/>
        </w:rPr>
        <w:t xml:space="preserve"> nije dužan </w:t>
      </w:r>
      <w:r w:rsidRPr="00041A47">
        <w:rPr>
          <w:color w:val="000000"/>
        </w:rPr>
        <w:t>obaviti stručnu obuku</w:t>
      </w:r>
      <w:r>
        <w:rPr>
          <w:color w:val="000000"/>
        </w:rPr>
        <w:t xml:space="preserve"> niti dati prisegu.</w:t>
      </w:r>
    </w:p>
    <w:p w:rsidR="00BA0FC9" w:rsidRDefault="00BA0FC9" w:rsidP="00BA0FC9">
      <w:pPr>
        <w:jc w:val="center"/>
      </w:pPr>
      <w:r>
        <w:t>Članak 13.</w:t>
      </w:r>
    </w:p>
    <w:p w:rsidR="00BA0FC9" w:rsidRDefault="00BA0FC9" w:rsidP="00BA0FC9">
      <w:pPr>
        <w:jc w:val="both"/>
      </w:pPr>
      <w:r>
        <w:br/>
        <w:t xml:space="preserve">Imenovanog stalnog sudskog </w:t>
      </w:r>
      <w:r w:rsidR="00904432">
        <w:t>procjenitelja</w:t>
      </w:r>
      <w:r>
        <w:t xml:space="preserve"> razriješit će predsjednik odgovarajućeg županijskog odnosno trgovačkog suda:</w:t>
      </w:r>
    </w:p>
    <w:p w:rsidR="00BA0FC9" w:rsidRDefault="00BA0FC9" w:rsidP="00BA0FC9">
      <w:pPr>
        <w:jc w:val="both"/>
      </w:pPr>
      <w:r>
        <w:br/>
        <w:t>– ako to sam zatraži,</w:t>
      </w:r>
    </w:p>
    <w:p w:rsidR="00BA0FC9" w:rsidRDefault="00BA0FC9" w:rsidP="00BA0FC9">
      <w:pPr>
        <w:jc w:val="both"/>
      </w:pPr>
      <w:r>
        <w:br/>
        <w:t>– ako se utvrdi da nisu postojali odnosno da su prestali postojati uvjeti na temelju kojih je imenovan,</w:t>
      </w:r>
    </w:p>
    <w:p w:rsidR="00BA0FC9" w:rsidRDefault="00BA0FC9" w:rsidP="00BA0FC9">
      <w:pPr>
        <w:jc w:val="both"/>
      </w:pPr>
      <w:r>
        <w:br/>
        <w:t xml:space="preserve">– ako je na temelju pravomoćne odluke nadležnog tijela proglašen </w:t>
      </w:r>
      <w:r w:rsidRPr="00041A47">
        <w:t>nesposobnim za obavljanje djelatnosti iz područja za koje je imenovan,</w:t>
      </w:r>
    </w:p>
    <w:p w:rsidR="00BA0FC9" w:rsidRDefault="00BA0FC9" w:rsidP="00BA0FC9">
      <w:pPr>
        <w:jc w:val="both"/>
      </w:pPr>
      <w:r>
        <w:br/>
        <w:t>– ako mu je na temelju pravomoćne sudske odluke oduzeta poslovna sposobnost,</w:t>
      </w:r>
    </w:p>
    <w:p w:rsidR="00BA0FC9" w:rsidRDefault="00BA0FC9" w:rsidP="00BA0FC9">
      <w:pPr>
        <w:jc w:val="both"/>
      </w:pPr>
      <w:r>
        <w:br/>
        <w:t>– ako mu je izrečena pravomoćna presuda za kazneno djelo koje je zapreka za prijam u državnu službu,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 xml:space="preserve">– ako nesavjesno ili neuredno obavlja povjerene mu poslove </w:t>
      </w:r>
      <w:r w:rsidR="00904432">
        <w:t>procjen</w:t>
      </w:r>
      <w:r w:rsidR="00404C3F">
        <w:t>e</w:t>
      </w:r>
      <w:r>
        <w:t>,</w:t>
      </w:r>
    </w:p>
    <w:p w:rsidR="00BA0FC9" w:rsidRDefault="00BA0FC9" w:rsidP="00BA0FC9">
      <w:pPr>
        <w:jc w:val="both"/>
      </w:pPr>
      <w:r>
        <w:br/>
      </w:r>
      <w:r w:rsidRPr="00041A47">
        <w:t xml:space="preserve">– ako ne zaključi ugovor o osiguranju od odgovornosti za obavljanje poslova stalnog sudskog </w:t>
      </w:r>
      <w:r w:rsidR="00904432" w:rsidRPr="00041A47">
        <w:t>procjenitelja</w:t>
      </w:r>
      <w:r w:rsidRPr="00041A47">
        <w:t>,</w:t>
      </w:r>
    </w:p>
    <w:p w:rsidR="00BA0FC9" w:rsidRDefault="00BA0FC9" w:rsidP="00BA0FC9">
      <w:pPr>
        <w:jc w:val="both"/>
      </w:pPr>
      <w:r>
        <w:lastRenderedPageBreak/>
        <w:br/>
      </w:r>
      <w:r w:rsidRPr="00041A47">
        <w:t>– ako povrijedi odredbe članka 17. ovog Pravilnika.</w:t>
      </w:r>
    </w:p>
    <w:p w:rsidR="00BA0FC9" w:rsidRDefault="00BA0FC9" w:rsidP="00BA0FC9">
      <w:pPr>
        <w:jc w:val="both"/>
      </w:pPr>
      <w:r>
        <w:br/>
        <w:t>Protiv rješenja o razrješenju dopuštena je žalba Ministarstvu pravosuđa u roku od 15 dana od dostave rješenja.</w:t>
      </w:r>
    </w:p>
    <w:p w:rsidR="00BA0FC9" w:rsidRDefault="00BA0FC9" w:rsidP="00BA0FC9">
      <w:pPr>
        <w:jc w:val="center"/>
      </w:pPr>
      <w:r>
        <w:br/>
        <w:t>Članak 14.</w:t>
      </w:r>
    </w:p>
    <w:p w:rsidR="00BA0FC9" w:rsidRPr="0010285E" w:rsidRDefault="00BA0FC9" w:rsidP="00BA0FC9">
      <w:pPr>
        <w:jc w:val="both"/>
      </w:pPr>
      <w:r>
        <w:br/>
        <w:t xml:space="preserve">U postupku imenovanja i razrješenja stalnih sudskih </w:t>
      </w:r>
      <w:r w:rsidR="00904432">
        <w:t>procjenitelja</w:t>
      </w:r>
      <w:r>
        <w:t xml:space="preserve"> primjenjuju se odredbe Zakona o općem upravnom postupku.</w:t>
      </w:r>
    </w:p>
    <w:p w:rsidR="00BA0FC9" w:rsidRDefault="00BA0FC9" w:rsidP="00BA0FC9"/>
    <w:p w:rsidR="00BA0FC9" w:rsidRDefault="00BA0FC9" w:rsidP="00BA0FC9">
      <w:pPr>
        <w:jc w:val="center"/>
      </w:pPr>
      <w:r>
        <w:t xml:space="preserve">DUŽNOSTI STALNIH SUDSKIH </w:t>
      </w:r>
      <w:r w:rsidR="00904432">
        <w:t>PROCJENITELJA</w:t>
      </w:r>
      <w:r>
        <w:br/>
      </w:r>
    </w:p>
    <w:p w:rsidR="00BA0FC9" w:rsidRPr="00041A47" w:rsidRDefault="00BA0FC9" w:rsidP="00BA0FC9">
      <w:pPr>
        <w:jc w:val="center"/>
      </w:pPr>
      <w:r w:rsidRPr="00041A47">
        <w:t>Članak 15.</w:t>
      </w:r>
    </w:p>
    <w:p w:rsidR="00BA0FC9" w:rsidRPr="00041A47" w:rsidRDefault="00BA0FC9" w:rsidP="00BA0FC9">
      <w:pPr>
        <w:jc w:val="both"/>
      </w:pPr>
      <w:r w:rsidRPr="00041A47">
        <w:br/>
        <w:t xml:space="preserve">Stalni sudski </w:t>
      </w:r>
      <w:r w:rsidR="00904432" w:rsidRPr="00041A47">
        <w:t>procjenitelj</w:t>
      </w:r>
      <w:r w:rsidRPr="00041A47">
        <w:t xml:space="preserve"> dužan se pridržavati rokova određenih odlukom kojom mu je </w:t>
      </w:r>
      <w:r w:rsidR="00904432" w:rsidRPr="00041A47">
        <w:t>procjena</w:t>
      </w:r>
      <w:r w:rsidRPr="00041A47">
        <w:t xml:space="preserve"> povjeren</w:t>
      </w:r>
      <w:r w:rsidR="00904432" w:rsidRPr="00041A47">
        <w:t>a</w:t>
      </w:r>
      <w:r w:rsidRPr="00041A47">
        <w:t xml:space="preserve">. </w:t>
      </w:r>
    </w:p>
    <w:p w:rsidR="00BA0FC9" w:rsidRPr="00041A47" w:rsidRDefault="00BA0FC9" w:rsidP="00BA0FC9">
      <w:pPr>
        <w:jc w:val="both"/>
      </w:pPr>
    </w:p>
    <w:p w:rsidR="00BA0FC9" w:rsidRDefault="00BA0FC9" w:rsidP="00BA0FC9">
      <w:pPr>
        <w:jc w:val="both"/>
      </w:pPr>
      <w:r w:rsidRPr="00041A47">
        <w:t xml:space="preserve">Ako </w:t>
      </w:r>
      <w:r w:rsidR="00404C3F" w:rsidRPr="00041A47">
        <w:t>procjenitelj</w:t>
      </w:r>
      <w:r w:rsidRPr="00041A47">
        <w:t xml:space="preserve"> iz objektivnih razloga ne može dovršiti </w:t>
      </w:r>
      <w:r w:rsidR="00904432" w:rsidRPr="00041A47">
        <w:t>procjen</w:t>
      </w:r>
      <w:r w:rsidR="00740551" w:rsidRPr="00041A47">
        <w:t>u</w:t>
      </w:r>
      <w:r w:rsidRPr="00041A47">
        <w:t xml:space="preserve"> u zadanom roku, dužan je najkasnije u roku od 8 dana prije isteka navedenog roka sudu podnijeti izvješće o razlozima zbog kojih nije u mogućnosti dovršiti </w:t>
      </w:r>
      <w:r w:rsidR="00141DC2" w:rsidRPr="00041A47">
        <w:t>procjen</w:t>
      </w:r>
      <w:r w:rsidR="00740551" w:rsidRPr="00041A47">
        <w:t>u</w:t>
      </w:r>
      <w:r w:rsidRPr="00041A47">
        <w:t xml:space="preserve">, kratki prikaz rezultata do tada obavljenih radnji te navesti rok do kojeg će obaviti </w:t>
      </w:r>
      <w:r w:rsidR="00141DC2" w:rsidRPr="00041A47">
        <w:t>procjenu</w:t>
      </w:r>
      <w:r w:rsidRPr="00041A47">
        <w:t>.</w:t>
      </w:r>
    </w:p>
    <w:p w:rsidR="00BA0FC9" w:rsidRPr="00041A47" w:rsidRDefault="00BA0FC9" w:rsidP="00BA0FC9">
      <w:pPr>
        <w:jc w:val="center"/>
      </w:pPr>
      <w:r>
        <w:br/>
      </w:r>
      <w:r w:rsidRPr="00041A47">
        <w:t>Članak 16.</w:t>
      </w:r>
    </w:p>
    <w:p w:rsidR="00BA0FC9" w:rsidRPr="00041A47" w:rsidRDefault="00BA0FC9" w:rsidP="00BA0FC9">
      <w:pPr>
        <w:jc w:val="both"/>
      </w:pPr>
      <w:r w:rsidRPr="00041A47">
        <w:br/>
        <w:t xml:space="preserve">U složenijim </w:t>
      </w:r>
      <w:r w:rsidR="00141DC2" w:rsidRPr="00041A47">
        <w:t>predmetima u k</w:t>
      </w:r>
      <w:r w:rsidRPr="00041A47">
        <w:t>oj</w:t>
      </w:r>
      <w:r w:rsidR="00141DC2" w:rsidRPr="00041A47">
        <w:t>im</w:t>
      </w:r>
      <w:r w:rsidRPr="00041A47">
        <w:t xml:space="preserve">a je određen dulji rok za izradu </w:t>
      </w:r>
      <w:r w:rsidR="00141DC2" w:rsidRPr="00041A47">
        <w:t xml:space="preserve">procjene stalni sudski procjenitelj </w:t>
      </w:r>
      <w:r w:rsidRPr="00041A47">
        <w:t xml:space="preserve">dužan </w:t>
      </w:r>
      <w:r w:rsidR="00141DC2" w:rsidRPr="00041A47">
        <w:t xml:space="preserve">je </w:t>
      </w:r>
      <w:r w:rsidRPr="00041A47">
        <w:t>jednom mjesečno podnijeti sudu kratko izvješće o rezultatima do tada obavljenih radnji.</w:t>
      </w:r>
    </w:p>
    <w:p w:rsidR="00BA0FC9" w:rsidRPr="00041A47" w:rsidRDefault="00BA0FC9" w:rsidP="00BA0FC9">
      <w:pPr>
        <w:jc w:val="both"/>
        <w:rPr>
          <w:color w:val="FF0000"/>
        </w:rPr>
      </w:pPr>
    </w:p>
    <w:p w:rsidR="00BA0FC9" w:rsidRPr="00041A47" w:rsidRDefault="00BA0FC9" w:rsidP="00BA0FC9">
      <w:pPr>
        <w:jc w:val="center"/>
      </w:pPr>
      <w:r w:rsidRPr="00041A47">
        <w:t>Članak 17.</w:t>
      </w:r>
    </w:p>
    <w:p w:rsidR="00BA0FC9" w:rsidRPr="00041A47" w:rsidRDefault="00BA0FC9" w:rsidP="00BA0FC9">
      <w:pPr>
        <w:jc w:val="both"/>
      </w:pPr>
      <w:r w:rsidRPr="00041A47">
        <w:br/>
        <w:t xml:space="preserve">Stalni sudski </w:t>
      </w:r>
      <w:r w:rsidR="00141DC2" w:rsidRPr="00041A47">
        <w:t>procjenitelj</w:t>
      </w:r>
      <w:r w:rsidRPr="00041A47">
        <w:t xml:space="preserve"> dužan je čuvati kao tajnu sve ono što je saznao u obavljanju poslova stalnog sudskog </w:t>
      </w:r>
      <w:r w:rsidR="00141DC2" w:rsidRPr="00041A47">
        <w:t>procjenitelja</w:t>
      </w:r>
      <w:r w:rsidRPr="00041A47">
        <w:t>.</w:t>
      </w:r>
    </w:p>
    <w:p w:rsidR="00BA0FC9" w:rsidRDefault="00BA0FC9" w:rsidP="00BA0FC9">
      <w:pPr>
        <w:jc w:val="both"/>
      </w:pPr>
      <w:r w:rsidRPr="00041A47">
        <w:br/>
        <w:t xml:space="preserve">Stalnom sudskom </w:t>
      </w:r>
      <w:r w:rsidR="00141DC2" w:rsidRPr="00041A47">
        <w:t>procjenitelju</w:t>
      </w:r>
      <w:r w:rsidRPr="00041A47">
        <w:t xml:space="preserve"> odnosno pravnoj osobi koja obavlja poslove sudskog </w:t>
      </w:r>
      <w:r w:rsidR="00141DC2" w:rsidRPr="00041A47">
        <w:t>procjenjivanja</w:t>
      </w:r>
      <w:r w:rsidRPr="00041A47">
        <w:t xml:space="preserve"> zabranjeno je isticanje svojstva stalnog sudskog </w:t>
      </w:r>
      <w:r w:rsidR="00141DC2" w:rsidRPr="00041A47">
        <w:t>procjenitelja</w:t>
      </w:r>
      <w:r w:rsidRPr="00041A47">
        <w:t xml:space="preserve"> na javnim i privatnim površinama te reklamiranje, osim isticanja uobičajene oznake na adresi sjedišta stalnog sudskog </w:t>
      </w:r>
      <w:r w:rsidR="00141DC2" w:rsidRPr="00041A47">
        <w:t>procjenitelja</w:t>
      </w:r>
      <w:r w:rsidRPr="00041A47">
        <w:t>.</w:t>
      </w:r>
      <w:r>
        <w:br/>
      </w:r>
    </w:p>
    <w:p w:rsidR="00BA0FC9" w:rsidRPr="00041A47" w:rsidRDefault="00BA0FC9" w:rsidP="00BA0FC9">
      <w:pPr>
        <w:jc w:val="center"/>
      </w:pPr>
      <w:r w:rsidRPr="00041A47">
        <w:t>Članak 18.</w:t>
      </w:r>
    </w:p>
    <w:p w:rsidR="00BA0FC9" w:rsidRPr="00041A47" w:rsidRDefault="00BA0FC9" w:rsidP="00BA0FC9">
      <w:pPr>
        <w:jc w:val="center"/>
      </w:pPr>
    </w:p>
    <w:p w:rsidR="00141DC2" w:rsidRPr="00041A47" w:rsidRDefault="00BA0FC9" w:rsidP="00141DC2">
      <w:pPr>
        <w:jc w:val="both"/>
      </w:pPr>
      <w:r w:rsidRPr="00041A47">
        <w:t xml:space="preserve">Stalni sudski </w:t>
      </w:r>
      <w:r w:rsidR="00141DC2" w:rsidRPr="00041A47">
        <w:t>procjenitelj</w:t>
      </w:r>
      <w:r w:rsidRPr="00041A47">
        <w:t xml:space="preserve"> dužan se stručno usavršavati i stjecati stručna znanja</w:t>
      </w:r>
      <w:r w:rsidR="00141DC2" w:rsidRPr="00041A47">
        <w:t>.</w:t>
      </w:r>
    </w:p>
    <w:p w:rsidR="00404C3F" w:rsidRPr="00041A47" w:rsidRDefault="00404C3F" w:rsidP="00141DC2">
      <w:pPr>
        <w:jc w:val="both"/>
      </w:pPr>
    </w:p>
    <w:p w:rsidR="00BA0FC9" w:rsidRPr="00041A47" w:rsidRDefault="00BA0FC9" w:rsidP="00141DC2">
      <w:pPr>
        <w:jc w:val="center"/>
      </w:pPr>
      <w:r w:rsidRPr="00041A47">
        <w:t>Članak 19.</w:t>
      </w:r>
    </w:p>
    <w:p w:rsidR="00BA0FC9" w:rsidRPr="00041A47" w:rsidRDefault="00BA0FC9" w:rsidP="00BA0FC9">
      <w:pPr>
        <w:jc w:val="both"/>
      </w:pPr>
      <w:r w:rsidRPr="00041A47">
        <w:br/>
        <w:t xml:space="preserve">Rad stalnih sudskih </w:t>
      </w:r>
      <w:r w:rsidR="00141DC2" w:rsidRPr="00041A47">
        <w:t>procjenitelja</w:t>
      </w:r>
      <w:r w:rsidRPr="00041A47">
        <w:t xml:space="preserve"> dužni su pratiti predsjednici županijskih odnosno trgovačkih sudova koji su ih imenovali te predsjednici sudova i državni odvjetnici i o svojim zapažanjima obavještavati predsjednike nadležnih županijskih odnosno trgovačkih sudova.</w:t>
      </w:r>
    </w:p>
    <w:p w:rsidR="00BA0FC9" w:rsidRDefault="00BA0FC9" w:rsidP="00BA0FC9">
      <w:pPr>
        <w:jc w:val="both"/>
      </w:pPr>
      <w:r w:rsidRPr="00141DC2">
        <w:rPr>
          <w:highlight w:val="yellow"/>
        </w:rPr>
        <w:br/>
      </w:r>
      <w:r w:rsidRPr="00404C3F">
        <w:t xml:space="preserve">Primjedbe na ponašanje stalnog sudskog </w:t>
      </w:r>
      <w:r w:rsidR="00141DC2" w:rsidRPr="00404C3F">
        <w:t>procjenitelja</w:t>
      </w:r>
      <w:r w:rsidRPr="00404C3F">
        <w:t xml:space="preserve"> mogu podnijeti i stranke odnosno </w:t>
      </w:r>
      <w:r w:rsidRPr="00404C3F">
        <w:lastRenderedPageBreak/>
        <w:t xml:space="preserve">njihovi punomoćnici te strukovne udruge. Primjedbe se podnose predsjedniku suda koji je imenovao </w:t>
      </w:r>
      <w:r w:rsidR="00141DC2" w:rsidRPr="00404C3F">
        <w:t>procjenitelja</w:t>
      </w:r>
      <w:r w:rsidRPr="00404C3F">
        <w:t>.</w:t>
      </w:r>
    </w:p>
    <w:p w:rsidR="00BA0FC9" w:rsidRPr="00404C3F" w:rsidRDefault="00BA0FC9" w:rsidP="00BA0FC9">
      <w:pPr>
        <w:jc w:val="center"/>
      </w:pPr>
      <w:r>
        <w:br/>
      </w:r>
      <w:r w:rsidRPr="00404C3F">
        <w:t>Članak 20.</w:t>
      </w:r>
    </w:p>
    <w:p w:rsidR="00BA0FC9" w:rsidRPr="00404C3F" w:rsidRDefault="00BA0FC9" w:rsidP="00BA0FC9">
      <w:pPr>
        <w:jc w:val="both"/>
      </w:pPr>
      <w:r w:rsidRPr="00404C3F">
        <w:br/>
        <w:t xml:space="preserve">Stalnom sudskom </w:t>
      </w:r>
      <w:r w:rsidR="00141DC2" w:rsidRPr="00404C3F">
        <w:t>procjenitelju</w:t>
      </w:r>
      <w:r w:rsidRPr="00404C3F">
        <w:t xml:space="preserve"> koji ne poštuje sud ili stranke, </w:t>
      </w:r>
      <w:r w:rsidRPr="00B31C0D">
        <w:t>ne preuzima dodijeljene mu predmete,</w:t>
      </w:r>
      <w:r w:rsidRPr="00404C3F">
        <w:t xml:space="preserve"> ne opravda zašto u roku nije dovršio povjeren</w:t>
      </w:r>
      <w:r w:rsidR="00141DC2" w:rsidRPr="00404C3F">
        <w:t>u</w:t>
      </w:r>
      <w:r w:rsidRPr="00404C3F">
        <w:t xml:space="preserve"> mu </w:t>
      </w:r>
      <w:r w:rsidR="00141DC2" w:rsidRPr="00404C3F">
        <w:t>procjenu</w:t>
      </w:r>
      <w:r w:rsidRPr="00404C3F">
        <w:t xml:space="preserve"> ili iz drugih ozbiljnih razloga može se privremeno uskratiti obavljanje poslova stalnog sudskog </w:t>
      </w:r>
      <w:r w:rsidR="00141DC2" w:rsidRPr="00404C3F">
        <w:t>procjenitelja</w:t>
      </w:r>
      <w:r w:rsidRPr="00404C3F">
        <w:t xml:space="preserve"> najmanje tri mjeseca, a najdulje godinu dana.</w:t>
      </w:r>
    </w:p>
    <w:p w:rsidR="00BA0FC9" w:rsidRPr="00404C3F" w:rsidRDefault="00BA0FC9" w:rsidP="00BA0FC9">
      <w:pPr>
        <w:jc w:val="both"/>
      </w:pPr>
    </w:p>
    <w:p w:rsidR="00BA0FC9" w:rsidRDefault="00BA0FC9" w:rsidP="00BA0FC9">
      <w:pPr>
        <w:jc w:val="both"/>
      </w:pPr>
      <w:r w:rsidRPr="00404C3F">
        <w:t xml:space="preserve">Rješenje o privremenoj uskrati obavljanja poslova stalnog sudskog </w:t>
      </w:r>
      <w:r w:rsidR="00141DC2" w:rsidRPr="00404C3F">
        <w:t>procjenitelja</w:t>
      </w:r>
      <w:r w:rsidRPr="00404C3F">
        <w:t xml:space="preserve"> donosi predsjednik suda koji je imenovao stalnog sudskog </w:t>
      </w:r>
      <w:r w:rsidR="00141DC2" w:rsidRPr="00404C3F">
        <w:t>procjenitelja</w:t>
      </w:r>
      <w:r w:rsidRPr="00404C3F">
        <w:t>.</w:t>
      </w:r>
      <w:r>
        <w:t xml:space="preserve"> </w:t>
      </w:r>
    </w:p>
    <w:p w:rsidR="00BA0FC9" w:rsidRDefault="00BA0FC9" w:rsidP="00BA0FC9">
      <w:pPr>
        <w:jc w:val="both"/>
      </w:pPr>
    </w:p>
    <w:p w:rsidR="00BA0FC9" w:rsidRPr="00041A47" w:rsidRDefault="00BA0FC9" w:rsidP="00BA0FC9">
      <w:pPr>
        <w:jc w:val="center"/>
      </w:pPr>
      <w:r w:rsidRPr="00041A47">
        <w:t>Članak 21.</w:t>
      </w:r>
    </w:p>
    <w:p w:rsidR="00BA0FC9" w:rsidRPr="00041A47" w:rsidRDefault="00BA0FC9" w:rsidP="00BA0FC9">
      <w:pPr>
        <w:pStyle w:val="t-9-8"/>
        <w:jc w:val="both"/>
      </w:pPr>
      <w:r w:rsidRPr="00041A47">
        <w:t xml:space="preserve">Stalni sudski </w:t>
      </w:r>
      <w:r w:rsidR="00141DC2" w:rsidRPr="00041A47">
        <w:t>procjenitelj</w:t>
      </w:r>
      <w:r w:rsidRPr="00041A47">
        <w:t xml:space="preserve"> protiv kojeg se vodi kazneni postupak zbog kaznenog djela za koje se goni po službenoj dužnosti, a koji čini zapreku za prijam u državnu službu, dužan je odmah po saznanju o tome obavijestiti predsjednika suda koji ga je imenovao te obustaviti rad na predmetima koji su mu dodijeljeni radi </w:t>
      </w:r>
      <w:r w:rsidR="00141DC2" w:rsidRPr="00041A47">
        <w:t>procjene</w:t>
      </w:r>
      <w:r w:rsidRPr="00041A47">
        <w:t>.</w:t>
      </w:r>
    </w:p>
    <w:p w:rsidR="00BA0FC9" w:rsidRPr="00041A47" w:rsidRDefault="00BA0FC9" w:rsidP="00BA0FC9">
      <w:pPr>
        <w:pStyle w:val="t-9-8"/>
        <w:jc w:val="both"/>
      </w:pPr>
      <w:r w:rsidRPr="00041A47">
        <w:t xml:space="preserve">Stalnom sudskom </w:t>
      </w:r>
      <w:r w:rsidR="00141DC2" w:rsidRPr="00041A47">
        <w:t>procjenitelju</w:t>
      </w:r>
      <w:r w:rsidRPr="00041A47">
        <w:t xml:space="preserve"> protiv kojeg se vodi kazneni postupak zbog kaznenog djela iz stavka 1. ovog članka izreći će se privremena zabrana obavljanja poslova stalnog sudskog </w:t>
      </w:r>
      <w:r w:rsidR="00141DC2" w:rsidRPr="00041A47">
        <w:t>procjenitelja</w:t>
      </w:r>
      <w:r w:rsidRPr="00041A47">
        <w:t>.</w:t>
      </w:r>
    </w:p>
    <w:p w:rsidR="00BA0FC9" w:rsidRPr="00041A47" w:rsidRDefault="00BA0FC9" w:rsidP="00BA0FC9">
      <w:pPr>
        <w:jc w:val="both"/>
      </w:pPr>
      <w:r w:rsidRPr="00041A47">
        <w:t xml:space="preserve">Rješenje o privremenoj zabrani obavljanja poslova stalnog sudskog </w:t>
      </w:r>
      <w:r w:rsidR="00141DC2" w:rsidRPr="00041A47">
        <w:t>procjenitelja</w:t>
      </w:r>
      <w:r w:rsidRPr="00041A47">
        <w:t xml:space="preserve"> donosi predsjednik suda koji je imenovao stalnog sudskog </w:t>
      </w:r>
      <w:r w:rsidR="00141DC2" w:rsidRPr="00041A47">
        <w:t>procjenitelja</w:t>
      </w:r>
      <w:r w:rsidRPr="00041A47">
        <w:t xml:space="preserve">. </w:t>
      </w:r>
    </w:p>
    <w:p w:rsidR="00BA0FC9" w:rsidRPr="00041A47" w:rsidRDefault="00BA0FC9" w:rsidP="00BA0FC9">
      <w:pPr>
        <w:jc w:val="both"/>
      </w:pPr>
    </w:p>
    <w:p w:rsidR="00BA0FC9" w:rsidRPr="00041A47" w:rsidRDefault="00BA0FC9" w:rsidP="00BA0FC9">
      <w:pPr>
        <w:jc w:val="both"/>
      </w:pPr>
      <w:r w:rsidRPr="00041A47">
        <w:t>Privremena zabrana traje do pravomoćnog okončanja kaznenog postupka.</w:t>
      </w:r>
    </w:p>
    <w:p w:rsidR="00BA0FC9" w:rsidRPr="00041A47" w:rsidRDefault="00BA0FC9" w:rsidP="00BA0FC9">
      <w:pPr>
        <w:jc w:val="both"/>
      </w:pPr>
    </w:p>
    <w:p w:rsidR="00BA0FC9" w:rsidRPr="00041A47" w:rsidRDefault="00BA0FC9" w:rsidP="00BA0FC9">
      <w:pPr>
        <w:jc w:val="center"/>
      </w:pPr>
      <w:r w:rsidRPr="00041A47">
        <w:t xml:space="preserve">Članak 22. </w:t>
      </w:r>
    </w:p>
    <w:p w:rsidR="00BA0FC9" w:rsidRPr="00041A47" w:rsidRDefault="00BA0FC9" w:rsidP="00BA0FC9">
      <w:pPr>
        <w:jc w:val="center"/>
      </w:pPr>
    </w:p>
    <w:p w:rsidR="00BA0FC9" w:rsidRPr="00041A47" w:rsidRDefault="00BA0FC9" w:rsidP="00BA0FC9">
      <w:pPr>
        <w:jc w:val="both"/>
      </w:pPr>
      <w:r w:rsidRPr="00041A47">
        <w:t>Protiv rješenja iz članka 20. stavak 2. i članka 21. stavka 3. ovog Pravilnika dopuštena je žalba Ministarstvu pravosuđa u roku od 15 dana od dostave rješenja.</w:t>
      </w:r>
    </w:p>
    <w:p w:rsidR="00BA0FC9" w:rsidRPr="00041A47" w:rsidRDefault="00BA0FC9" w:rsidP="00BA0FC9"/>
    <w:p w:rsidR="00BA0FC9" w:rsidRDefault="00BA0FC9" w:rsidP="00BA0FC9">
      <w:r w:rsidRPr="00041A47">
        <w:t xml:space="preserve">Predsjednik suda proslijedit će rješenje o privremenoj uskrati i privremenoj zabrani obavljanja poslova </w:t>
      </w:r>
      <w:r w:rsidR="00141DC2" w:rsidRPr="00041A47">
        <w:t>procjenjivanja</w:t>
      </w:r>
      <w:r w:rsidRPr="00041A47">
        <w:t xml:space="preserve"> svim sucima suda u kojem je predsjednik,  predsjednicima općinskih, prekršajnih, upravnih i trgovačkih sudova te Ministarstvu pravosuđa.</w:t>
      </w:r>
    </w:p>
    <w:p w:rsidR="00BA0FC9" w:rsidRDefault="00BA0FC9" w:rsidP="00BA0FC9"/>
    <w:p w:rsidR="00BA0FC9" w:rsidRDefault="00BA0FC9" w:rsidP="00BA0FC9">
      <w:pPr>
        <w:jc w:val="center"/>
      </w:pPr>
      <w:r>
        <w:t>Članak 23.</w:t>
      </w:r>
    </w:p>
    <w:p w:rsidR="00BA0FC9" w:rsidRDefault="00BA0FC9" w:rsidP="00BA0FC9"/>
    <w:p w:rsidR="00BA0FC9" w:rsidRDefault="00BA0FC9" w:rsidP="00BA0FC9">
      <w:pPr>
        <w:jc w:val="both"/>
      </w:pPr>
      <w:r>
        <w:t xml:space="preserve">Stalni sudski </w:t>
      </w:r>
      <w:r w:rsidR="00141DC2">
        <w:t>procjenitelj</w:t>
      </w:r>
      <w:r>
        <w:t xml:space="preserve"> dužan je sudu koji ga je imenovao odmah prijaviti svaku promjenu svojih podataka.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 xml:space="preserve">Sud je promjene iz stavka 1. ovog članka dužan odmah unijeti u popis u koji je navedeni sudski </w:t>
      </w:r>
      <w:r w:rsidR="006F15CC">
        <w:t>procjenitelj</w:t>
      </w:r>
      <w:r>
        <w:t xml:space="preserve"> upisan.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center"/>
      </w:pPr>
      <w:r w:rsidRPr="0038415E">
        <w:t xml:space="preserve">PRAVA STALNIH SUDSKIH </w:t>
      </w:r>
      <w:r w:rsidR="00141DC2">
        <w:t>PROCJENITELJA</w:t>
      </w:r>
    </w:p>
    <w:p w:rsidR="00BA0FC9" w:rsidRDefault="00BA0FC9" w:rsidP="00BA0FC9">
      <w:pPr>
        <w:jc w:val="center"/>
      </w:pPr>
    </w:p>
    <w:p w:rsidR="00BA0FC9" w:rsidRDefault="00BA0FC9" w:rsidP="00BA0FC9">
      <w:pPr>
        <w:numPr>
          <w:ilvl w:val="0"/>
          <w:numId w:val="1"/>
        </w:numPr>
        <w:jc w:val="center"/>
      </w:pPr>
      <w:r>
        <w:t>Pravo na nagradu</w:t>
      </w:r>
    </w:p>
    <w:p w:rsidR="00BA0FC9" w:rsidRDefault="00BA0FC9" w:rsidP="00BA0FC9">
      <w:pPr>
        <w:ind w:left="720"/>
      </w:pPr>
    </w:p>
    <w:p w:rsidR="00BA0FC9" w:rsidRDefault="00BA0FC9" w:rsidP="00BA0FC9">
      <w:pPr>
        <w:ind w:left="720"/>
      </w:pPr>
      <w:r>
        <w:lastRenderedPageBreak/>
        <w:t xml:space="preserve">                                                        Članak 24.</w:t>
      </w:r>
    </w:p>
    <w:p w:rsidR="00404C3F" w:rsidRDefault="00BA0FC9" w:rsidP="00BA0FC9">
      <w:pPr>
        <w:jc w:val="both"/>
      </w:pPr>
      <w:r>
        <w:br/>
        <w:t>Za obavljen</w:t>
      </w:r>
      <w:r w:rsidR="00141DC2">
        <w:t>u procjenu</w:t>
      </w:r>
      <w:r>
        <w:t xml:space="preserve"> stalni sudski </w:t>
      </w:r>
      <w:r w:rsidR="00141DC2">
        <w:t>procjenitelj</w:t>
      </w:r>
      <w:r>
        <w:t xml:space="preserve"> ima pravo na nagradu. </w:t>
      </w:r>
    </w:p>
    <w:p w:rsidR="00F7168E" w:rsidRDefault="00F7168E" w:rsidP="00BA0FC9">
      <w:pPr>
        <w:jc w:val="both"/>
      </w:pPr>
    </w:p>
    <w:p w:rsidR="00F7168E" w:rsidRPr="00F7168E" w:rsidRDefault="00F7168E" w:rsidP="00F7168E">
      <w:r w:rsidRPr="00F7168E">
        <w:t xml:space="preserve">Nagradu utvrđuje sud prema posebnom cjeniku naknada i nagrada stalnih sudskih </w:t>
      </w:r>
      <w:r>
        <w:t>procjenitelja</w:t>
      </w:r>
      <w:r w:rsidRPr="00F7168E">
        <w:t>, koji je sastavni dio ovog Pravilnika.</w:t>
      </w:r>
      <w:r w:rsidRPr="00F7168E">
        <w:br/>
      </w:r>
    </w:p>
    <w:p w:rsidR="00BA0FC9" w:rsidRDefault="00F7168E" w:rsidP="00F7168E">
      <w:pPr>
        <w:jc w:val="both"/>
      </w:pPr>
      <w:r w:rsidRPr="00F7168E">
        <w:t>Nagrada se određuje u bodovima, a vrijednost boda je 2,00 kune bruto bez PDV-a.</w:t>
      </w:r>
    </w:p>
    <w:p w:rsidR="00BA0FC9" w:rsidRPr="00F7168E" w:rsidRDefault="00BA0FC9" w:rsidP="00BA0FC9">
      <w:pPr>
        <w:jc w:val="both"/>
      </w:pPr>
      <w:r>
        <w:br/>
      </w:r>
      <w:r w:rsidRPr="00F7168E">
        <w:t xml:space="preserve">Nagrada za rad </w:t>
      </w:r>
      <w:r w:rsidR="00141DC2" w:rsidRPr="00F7168E">
        <w:t>procjenitelja</w:t>
      </w:r>
      <w:r w:rsidRPr="00F7168E">
        <w:t xml:space="preserve"> koja se isplaćuje iz sredstava suda ili državnog odvjetništva umanjuje se za 20% od utvrđene vrijednosti boda iz stavka 2. ovog članka.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center"/>
      </w:pPr>
      <w:r w:rsidRPr="00F7168E">
        <w:t>Članak 25.</w:t>
      </w:r>
    </w:p>
    <w:p w:rsidR="00BA0FC9" w:rsidRPr="00141DC2" w:rsidRDefault="00BA0FC9" w:rsidP="00BA0FC9">
      <w:pPr>
        <w:jc w:val="both"/>
        <w:rPr>
          <w:highlight w:val="yellow"/>
        </w:rPr>
      </w:pPr>
      <w:r w:rsidRPr="00F7168E">
        <w:br/>
      </w:r>
      <w:r w:rsidRPr="00404C3F">
        <w:t xml:space="preserve">Nagrada za </w:t>
      </w:r>
      <w:r w:rsidR="00141DC2" w:rsidRPr="00404C3F">
        <w:t>procjen</w:t>
      </w:r>
      <w:r w:rsidR="00404C3F" w:rsidRPr="00404C3F">
        <w:t>u</w:t>
      </w:r>
      <w:r w:rsidRPr="00404C3F">
        <w:t xml:space="preserve"> povjeren</w:t>
      </w:r>
      <w:r w:rsidR="00404C3F" w:rsidRPr="00404C3F">
        <w:t>u</w:t>
      </w:r>
      <w:r w:rsidRPr="00404C3F">
        <w:t xml:space="preserve"> pravnoj osobi pripada toj pravnoj osobi.</w:t>
      </w:r>
    </w:p>
    <w:p w:rsidR="00BA0FC9" w:rsidRDefault="00BA0FC9" w:rsidP="00BA0FC9">
      <w:pPr>
        <w:jc w:val="both"/>
      </w:pPr>
      <w:r w:rsidRPr="00141DC2">
        <w:rPr>
          <w:highlight w:val="yellow"/>
        </w:rPr>
        <w:br/>
      </w:r>
      <w:r w:rsidRPr="00F7168E">
        <w:t xml:space="preserve">Odredba stavka 1. ovoga članka primjenjuje se i u slučajevima kada je </w:t>
      </w:r>
      <w:r w:rsidR="00141DC2" w:rsidRPr="00F7168E">
        <w:t>procjenjivanje</w:t>
      </w:r>
      <w:r w:rsidRPr="00F7168E">
        <w:t xml:space="preserve"> povjereno državnom tijelu, stručnoj ustanovi i</w:t>
      </w:r>
      <w:r w:rsidR="00141DC2" w:rsidRPr="00F7168E">
        <w:t>li drugoj pravnoj osobi koji procjenjivanje</w:t>
      </w:r>
      <w:r w:rsidRPr="00F7168E">
        <w:t xml:space="preserve"> ne obavljaju kao svoju registriranu djelatnost.</w:t>
      </w:r>
    </w:p>
    <w:p w:rsidR="00BA0FC9" w:rsidRPr="00404C3F" w:rsidRDefault="00BA0FC9" w:rsidP="00BA0FC9">
      <w:pPr>
        <w:jc w:val="center"/>
      </w:pPr>
      <w:r>
        <w:br/>
      </w:r>
      <w:r w:rsidRPr="00404C3F">
        <w:t>Članak 26.</w:t>
      </w:r>
    </w:p>
    <w:p w:rsidR="00404C3F" w:rsidRDefault="00BA0FC9" w:rsidP="00BA0FC9">
      <w:pPr>
        <w:jc w:val="both"/>
      </w:pPr>
      <w:r w:rsidRPr="00404C3F">
        <w:br/>
        <w:t xml:space="preserve">Ako je </w:t>
      </w:r>
      <w:r w:rsidR="00141DC2" w:rsidRPr="00404C3F">
        <w:t>procjen</w:t>
      </w:r>
      <w:r w:rsidR="00404C3F" w:rsidRPr="00404C3F">
        <w:t>u</w:t>
      </w:r>
      <w:r w:rsidRPr="00404C3F">
        <w:t xml:space="preserve"> nužno obaviti pod otežanim uvjetima (noću od 22,00 do 06,00 sati, u iznimno nepovoljnim vremenskim uvjetima, na otvorenom prostoru i sl.) te u dane tjednog odmora, državnog blagdana ili neradnog dana, iznos nagrad</w:t>
      </w:r>
      <w:r w:rsidR="00404C3F" w:rsidRPr="00404C3F">
        <w:t>e može se</w:t>
      </w:r>
      <w:r w:rsidRPr="00404C3F">
        <w:t xml:space="preserve"> uveća</w:t>
      </w:r>
      <w:r w:rsidR="00404C3F" w:rsidRPr="00404C3F">
        <w:t>ti</w:t>
      </w:r>
      <w:r w:rsidRPr="00404C3F">
        <w:t xml:space="preserve"> za 100%.</w:t>
      </w:r>
    </w:p>
    <w:p w:rsidR="00404C3F" w:rsidRDefault="00404C3F" w:rsidP="00BA0FC9">
      <w:pPr>
        <w:jc w:val="both"/>
      </w:pPr>
    </w:p>
    <w:p w:rsidR="00BA0FC9" w:rsidRPr="00082742" w:rsidRDefault="00404C3F" w:rsidP="00BA0FC9">
      <w:pPr>
        <w:jc w:val="both"/>
      </w:pPr>
      <w:r>
        <w:t xml:space="preserve">Odredbe stavka 1. ovog članka primjenjuju se i na određivanje nagrade stručnoj osobi kada u postupku daje traženo objašnjenje. </w:t>
      </w:r>
      <w:r w:rsidR="00BA0FC9" w:rsidRPr="00082742">
        <w:t xml:space="preserve"> </w:t>
      </w:r>
    </w:p>
    <w:p w:rsidR="00BA0FC9" w:rsidRDefault="00BA0FC9" w:rsidP="00BA0FC9"/>
    <w:p w:rsidR="00BA0FC9" w:rsidRPr="00F7168E" w:rsidRDefault="00BA0FC9" w:rsidP="00BA0FC9">
      <w:pPr>
        <w:jc w:val="center"/>
      </w:pPr>
      <w:r w:rsidRPr="00F7168E">
        <w:t>Članak 27.</w:t>
      </w:r>
    </w:p>
    <w:p w:rsidR="00BA0FC9" w:rsidRPr="00FD3F25" w:rsidRDefault="00BA0FC9" w:rsidP="00BA0FC9">
      <w:pPr>
        <w:jc w:val="both"/>
        <w:rPr>
          <w:color w:val="0000FF"/>
        </w:rPr>
      </w:pPr>
      <w:r w:rsidRPr="00F7168E">
        <w:br/>
        <w:t xml:space="preserve">Kada za pojedine vrste </w:t>
      </w:r>
      <w:r w:rsidR="00141DC2" w:rsidRPr="00F7168E">
        <w:t>procjenjivanja</w:t>
      </w:r>
      <w:r w:rsidRPr="00F7168E">
        <w:t xml:space="preserve"> koje obavljaju pravne osobe iz članka 4. ovog Pravilnika postoji poseban cjenik usluga, sud će nagradu za obavljeno </w:t>
      </w:r>
      <w:r w:rsidR="00141DC2" w:rsidRPr="00F7168E">
        <w:t>procjenjivanje</w:t>
      </w:r>
      <w:r w:rsidRPr="00F7168E">
        <w:t xml:space="preserve"> odrediti prema tom cjeniku.</w:t>
      </w:r>
    </w:p>
    <w:p w:rsidR="00BA0FC9" w:rsidRPr="00F7168E" w:rsidRDefault="00BA0FC9" w:rsidP="00BA0FC9">
      <w:pPr>
        <w:jc w:val="center"/>
      </w:pPr>
      <w:r>
        <w:br/>
      </w:r>
      <w:r w:rsidRPr="00F7168E">
        <w:t>2. Pravo na naknadu putnih troškova</w:t>
      </w:r>
    </w:p>
    <w:p w:rsidR="00BA0FC9" w:rsidRPr="00F7168E" w:rsidRDefault="00BA0FC9" w:rsidP="00BA0FC9">
      <w:pPr>
        <w:jc w:val="center"/>
      </w:pPr>
      <w:r w:rsidRPr="00F7168E">
        <w:br/>
        <w:t>Članak 28.</w:t>
      </w:r>
    </w:p>
    <w:p w:rsidR="00BA0FC9" w:rsidRPr="00F7168E" w:rsidRDefault="00BA0FC9" w:rsidP="00BA0FC9">
      <w:pPr>
        <w:jc w:val="both"/>
      </w:pPr>
      <w:r w:rsidRPr="00F7168E">
        <w:br/>
        <w:t>Pravo na naknadu putnih troškova obuhvaća naknadu za prijevoz sredstvima javnog prometa.</w:t>
      </w:r>
    </w:p>
    <w:p w:rsidR="00BA0FC9" w:rsidRPr="00F7168E" w:rsidRDefault="00BA0FC9" w:rsidP="00BA0FC9">
      <w:pPr>
        <w:jc w:val="both"/>
      </w:pPr>
      <w:r w:rsidRPr="00F7168E">
        <w:br/>
        <w:t xml:space="preserve">Troškovi iz stavka 1. ovog članka obuhvaćaju izdatke za dolazak iz mjesta prebivališta odnosno boravišta stalnog sudskog </w:t>
      </w:r>
      <w:r w:rsidR="00141DC2" w:rsidRPr="00F7168E">
        <w:t>procjenitelja</w:t>
      </w:r>
      <w:r w:rsidRPr="00F7168E">
        <w:t xml:space="preserve"> do mjesta gdje treba obaviti </w:t>
      </w:r>
      <w:r w:rsidR="00141DC2" w:rsidRPr="00F7168E">
        <w:t>procjenu</w:t>
      </w:r>
      <w:r w:rsidRPr="00F7168E">
        <w:t xml:space="preserve"> kao i za povratak u mjesto njegovog prebivališta odnosno boravišta. Ovi troškovi obuhvaćaju i izdatke za prijevoz sredstvima javnog prometa u mjestu prebivališta odnosno boravišta stalnog sudskog </w:t>
      </w:r>
      <w:r w:rsidR="00141DC2" w:rsidRPr="00F7168E">
        <w:t>procjenitelja</w:t>
      </w:r>
      <w:r w:rsidRPr="00F7168E">
        <w:t>.</w:t>
      </w:r>
    </w:p>
    <w:p w:rsidR="00BA0FC9" w:rsidRPr="00F7168E" w:rsidRDefault="00BA0FC9" w:rsidP="00BA0FC9">
      <w:pPr>
        <w:jc w:val="both"/>
      </w:pPr>
      <w:r w:rsidRPr="00F7168E">
        <w:br/>
        <w:t>Sredstva javnog prometa u smislu ovog Pravilnika su tramvaj, vlak, autobus, brod i zrakoplov.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lastRenderedPageBreak/>
        <w:t xml:space="preserve">Ako se za obavljanje </w:t>
      </w:r>
      <w:r w:rsidR="00740551" w:rsidRPr="00F7168E">
        <w:t>procjene</w:t>
      </w:r>
      <w:r w:rsidRPr="00F7168E">
        <w:t xml:space="preserve"> ne može koristiti sredstvo javnog prometa, stalni sudski </w:t>
      </w:r>
      <w:r w:rsidR="00E14136" w:rsidRPr="00F7168E">
        <w:t>procjenitelj</w:t>
      </w:r>
      <w:r w:rsidRPr="00F7168E">
        <w:t xml:space="preserve"> ima pravo na korištenje osobnog automobila prema pravilima koja se primjenjuju na suce. 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Ako je stalni sudski </w:t>
      </w:r>
      <w:r w:rsidR="00E14136" w:rsidRPr="00F7168E">
        <w:t>procjenitelj</w:t>
      </w:r>
      <w:r w:rsidRPr="00F7168E">
        <w:t xml:space="preserve"> koristio osobni automobil za potrebe </w:t>
      </w:r>
      <w:r w:rsidR="00740551" w:rsidRPr="00F7168E">
        <w:t xml:space="preserve">obavljanja </w:t>
      </w:r>
      <w:r w:rsidR="00E14136" w:rsidRPr="00F7168E">
        <w:t>procjen</w:t>
      </w:r>
      <w:r w:rsidR="00740551" w:rsidRPr="00F7168E">
        <w:t>e</w:t>
      </w:r>
      <w:r w:rsidRPr="00F7168E">
        <w:t>, dužan je priložiti izvješće o prijeđenom broju kilometara na najkraćoj dionici puta prema podacima Hrvatskog autokluba.</w:t>
      </w:r>
    </w:p>
    <w:p w:rsidR="00BA0FC9" w:rsidRPr="00F7168E" w:rsidRDefault="00BA0FC9" w:rsidP="00BA0FC9">
      <w:pPr>
        <w:jc w:val="both"/>
      </w:pPr>
    </w:p>
    <w:p w:rsidR="00BA0FC9" w:rsidRDefault="00BA0FC9" w:rsidP="00BA0FC9">
      <w:pPr>
        <w:jc w:val="center"/>
      </w:pPr>
      <w:r w:rsidRPr="00F7168E">
        <w:t>Članak 29.</w:t>
      </w:r>
    </w:p>
    <w:p w:rsidR="00BA0FC9" w:rsidRDefault="00BA0FC9" w:rsidP="00BA0FC9">
      <w:pPr>
        <w:jc w:val="both"/>
      </w:pPr>
      <w:r>
        <w:br/>
        <w:t xml:space="preserve">Pravo na naknadu putnih troškova stalnom sudskom </w:t>
      </w:r>
      <w:r w:rsidR="00E14136">
        <w:t>procjenitelju</w:t>
      </w:r>
      <w:r>
        <w:t xml:space="preserve"> pripada za putovanje obavljeno najkraćim putem i najekonomičnijim prometnim sredstvom.</w:t>
      </w:r>
    </w:p>
    <w:p w:rsidR="00BA0FC9" w:rsidRDefault="00BA0FC9" w:rsidP="00BA0FC9">
      <w:pPr>
        <w:jc w:val="both"/>
      </w:pPr>
      <w:r>
        <w:br/>
        <w:t>Putni troškovi obračunavaju se na temelju urednog i vjerodostojnog putnog naloga i priloženih isprava (računa) kojima se dokazuju putni troškovi i drugi izdaci navedeni u putnom nalogu.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center"/>
      </w:pPr>
      <w:r>
        <w:t>Članak 30.</w:t>
      </w:r>
    </w:p>
    <w:p w:rsidR="00BA0FC9" w:rsidRDefault="00BA0FC9" w:rsidP="00BA0FC9">
      <w:pPr>
        <w:jc w:val="both"/>
      </w:pPr>
      <w:r>
        <w:br/>
        <w:t xml:space="preserve">Za vrijeme obavljanja poslova sudskog </w:t>
      </w:r>
      <w:r w:rsidR="00E14136">
        <w:t>procjenjivanja</w:t>
      </w:r>
      <w:r>
        <w:t xml:space="preserve"> izvan mjesta prebivališta preko 8 – 12 sati </w:t>
      </w:r>
      <w:r w:rsidR="00E14136">
        <w:t>procjenitelju</w:t>
      </w:r>
      <w:r>
        <w:t xml:space="preserve"> pripada pravo na naknadu u visini 1/2 dnevnice, a za vrijeme provedeno preko 12 – 24 sata cijela dnevnica u visini koja se priznaje sucu suda koji vodi postupak.</w:t>
      </w:r>
    </w:p>
    <w:p w:rsidR="00BA0FC9" w:rsidRDefault="00BA0FC9" w:rsidP="00BA0FC9">
      <w:pPr>
        <w:jc w:val="both"/>
      </w:pPr>
      <w:r>
        <w:br/>
        <w:t xml:space="preserve">Izdaci za smještaj (noćenje) priznaju se stalnom sudskom </w:t>
      </w:r>
      <w:r w:rsidR="00E14136">
        <w:t>procjenitelju</w:t>
      </w:r>
      <w:r>
        <w:t xml:space="preserve"> u punom iznosu prema priloženom računu do visine koja se priznaje sucu suda koji vodi postupak. </w:t>
      </w:r>
    </w:p>
    <w:p w:rsidR="00BA0FC9" w:rsidRDefault="00BA0FC9" w:rsidP="00BA0FC9">
      <w:pPr>
        <w:jc w:val="both"/>
      </w:pPr>
    </w:p>
    <w:p w:rsidR="00BA0FC9" w:rsidRPr="00F7168E" w:rsidRDefault="00BA0FC9" w:rsidP="00BA0FC9">
      <w:pPr>
        <w:jc w:val="center"/>
      </w:pPr>
      <w:r w:rsidRPr="00F7168E">
        <w:t>PEČAT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center"/>
      </w:pPr>
      <w:r w:rsidRPr="00F7168E">
        <w:t>Članak 31.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</w:t>
      </w:r>
      <w:r w:rsidRPr="00F7168E">
        <w:t xml:space="preserve"> u obavljanju poslova sudskog </w:t>
      </w:r>
      <w:r w:rsidR="00E14136" w:rsidRPr="00F7168E">
        <w:t>procjenjivanja</w:t>
      </w:r>
      <w:r w:rsidRPr="00F7168E">
        <w:t xml:space="preserve"> koristi svoj pečat.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</w:t>
      </w:r>
      <w:r w:rsidRPr="00F7168E">
        <w:t xml:space="preserve"> dužan je pečat izraditi o vlastitom trošku.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Pečat je okruglog oblika, bez grba Republike Hrvatske, promjera </w:t>
      </w:r>
      <w:smartTag w:uri="urn:schemas-microsoft-com:office:smarttags" w:element="metricconverter">
        <w:smartTagPr>
          <w:attr w:name="ProductID" w:val="38 mm"/>
        </w:smartTagPr>
        <w:r w:rsidRPr="00F7168E">
          <w:t>38 mm</w:t>
        </w:r>
      </w:smartTag>
      <w:r w:rsidRPr="00F7168E">
        <w:t xml:space="preserve">. Tekst pečata sadrži ime, prezime i adresu stalnog sudskog </w:t>
      </w:r>
      <w:r w:rsidR="00E14136" w:rsidRPr="00F7168E">
        <w:t>procjenitelja i</w:t>
      </w:r>
      <w:r w:rsidRPr="00F7168E">
        <w:t xml:space="preserve"> naznaku „stalni sudski </w:t>
      </w:r>
      <w:r w:rsidR="00E14136" w:rsidRPr="00F7168E">
        <w:t>procjenitelj</w:t>
      </w:r>
      <w:r w:rsidRPr="00F7168E">
        <w:t>“.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>Otisak pečata je plave boje.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</w:t>
      </w:r>
      <w:r w:rsidRPr="00F7168E">
        <w:t xml:space="preserve"> dužan je otisak svog pečata i vlastoručni potpis pohraniti u sudu koji je imenovao stalnog sudskog </w:t>
      </w:r>
      <w:r w:rsidR="00E14136" w:rsidRPr="00F7168E">
        <w:t>procjenitelja</w:t>
      </w:r>
      <w:r w:rsidRPr="00F7168E">
        <w:t>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r w:rsidRPr="00F7168E">
        <w:t xml:space="preserve">Pravne osobe u obavljanju poslova sudskog </w:t>
      </w:r>
      <w:r w:rsidR="00E14136" w:rsidRPr="00F7168E">
        <w:t>procjenjivanja</w:t>
      </w:r>
      <w:r w:rsidRPr="00F7168E">
        <w:t xml:space="preserve"> koriste svoj pečat.</w:t>
      </w:r>
    </w:p>
    <w:p w:rsidR="00BA0FC9" w:rsidRPr="00F7168E" w:rsidRDefault="00BA0FC9" w:rsidP="00BA0FC9"/>
    <w:p w:rsidR="00BA0FC9" w:rsidRPr="00F7168E" w:rsidRDefault="00BA0FC9" w:rsidP="00BA0FC9"/>
    <w:p w:rsidR="00BA0FC9" w:rsidRPr="00F7168E" w:rsidRDefault="00BA0FC9" w:rsidP="00BA0FC9">
      <w:pPr>
        <w:jc w:val="center"/>
      </w:pPr>
      <w:r w:rsidRPr="00F7168E">
        <w:t>NATPISNA PLOČA</w:t>
      </w:r>
    </w:p>
    <w:p w:rsidR="00BA0FC9" w:rsidRPr="00F7168E" w:rsidRDefault="00BA0FC9" w:rsidP="00BA0FC9"/>
    <w:p w:rsidR="00BA0FC9" w:rsidRPr="00F7168E" w:rsidRDefault="00BA0FC9" w:rsidP="00BA0FC9">
      <w:pPr>
        <w:jc w:val="center"/>
      </w:pPr>
      <w:r w:rsidRPr="00F7168E">
        <w:t xml:space="preserve">Članak 32. 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both"/>
      </w:pPr>
      <w:r w:rsidRPr="00F7168E">
        <w:lastRenderedPageBreak/>
        <w:t xml:space="preserve">Stalni sudski </w:t>
      </w:r>
      <w:r w:rsidR="00E14136" w:rsidRPr="00F7168E">
        <w:t>procjenitelj</w:t>
      </w:r>
      <w:r w:rsidRPr="00F7168E">
        <w:t xml:space="preserve"> dužan je na zgradu u kojoj obavlja djelatnost o svom trošku postaviti natpisnu ploču koja sadrži ime i prezime stalnog sudskog </w:t>
      </w:r>
      <w:r w:rsidR="00E14136" w:rsidRPr="00F7168E">
        <w:t>procjenitelja</w:t>
      </w:r>
      <w:r w:rsidRPr="00F7168E">
        <w:t xml:space="preserve"> te naznaku „stalni sudski </w:t>
      </w:r>
      <w:r w:rsidR="00E14136" w:rsidRPr="00F7168E">
        <w:t>procjenitelj</w:t>
      </w:r>
      <w:r w:rsidRPr="00F7168E">
        <w:t>“.</w:t>
      </w:r>
    </w:p>
    <w:p w:rsidR="00BA0FC9" w:rsidRPr="00F7168E" w:rsidRDefault="00BA0FC9" w:rsidP="00BA0FC9"/>
    <w:p w:rsidR="00BA0FC9" w:rsidRPr="00F7168E" w:rsidRDefault="00E14136" w:rsidP="00BA0FC9">
      <w:pPr>
        <w:jc w:val="center"/>
      </w:pPr>
      <w:r w:rsidRPr="00F7168E">
        <w:t xml:space="preserve"> SLUŽBENA </w:t>
      </w:r>
      <w:r w:rsidR="00BA0FC9" w:rsidRPr="00F7168E">
        <w:t>ISKAZNICA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center"/>
      </w:pPr>
      <w:r w:rsidRPr="00F7168E">
        <w:t xml:space="preserve">Članak 33. 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</w:t>
      </w:r>
      <w:r w:rsidRPr="00F7168E">
        <w:t xml:space="preserve"> ima službenu iskaznicu. 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Službenu iskaznicu stalnom sudskom </w:t>
      </w:r>
      <w:r w:rsidR="00E14136" w:rsidRPr="00F7168E">
        <w:t>procjenitelju</w:t>
      </w:r>
      <w:r w:rsidRPr="00F7168E">
        <w:t xml:space="preserve"> izdaje predsjednik županijskog odnosno trgovačkog suda koji ga je imenovao.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Nakon davanja prisege imenovani stalni sudski </w:t>
      </w:r>
      <w:r w:rsidR="00E14136" w:rsidRPr="00F7168E">
        <w:t>procjenitelj</w:t>
      </w:r>
      <w:r w:rsidRPr="00F7168E">
        <w:t xml:space="preserve"> predsjedniku nadležnog županijskog odnosno trgovačkog suda podnosi zahtjev za izdavanje službene iskaznice. Uz zahtjev se prilažu i dvije fotografije veličine 28x32 mm.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Službena iskaznica je pravokutnog oblika veličine 8,5 x </w:t>
      </w:r>
      <w:smartTag w:uri="urn:schemas-microsoft-com:office:smarttags" w:element="metricconverter">
        <w:smartTagPr>
          <w:attr w:name="ProductID" w:val="5,5 cm"/>
        </w:smartTagPr>
        <w:r w:rsidRPr="00F7168E">
          <w:t>5,5 cm</w:t>
        </w:r>
      </w:smartTag>
      <w:r w:rsidRPr="00F7168E">
        <w:t xml:space="preserve"> na kartonskoj podlozi ili pergamentu bijele boje.</w:t>
      </w:r>
    </w:p>
    <w:p w:rsidR="00BA0FC9" w:rsidRPr="00F7168E" w:rsidRDefault="00BA0FC9" w:rsidP="00BA0FC9">
      <w:pPr>
        <w:pStyle w:val="StandardWeb"/>
      </w:pPr>
      <w:r w:rsidRPr="00F7168E">
        <w:t>Službena iskaznica izrađuje se tehnikom zaštitnog tiska Republike Hrvatske.</w:t>
      </w:r>
    </w:p>
    <w:p w:rsidR="00BA0FC9" w:rsidRPr="00F7168E" w:rsidRDefault="00BA0FC9" w:rsidP="00BA0FC9">
      <w:pPr>
        <w:pStyle w:val="StandardWeb"/>
      </w:pPr>
      <w:r w:rsidRPr="00F7168E">
        <w:t xml:space="preserve">Obrazac službene iskaznice za stalne sudske </w:t>
      </w:r>
      <w:r w:rsidR="00E14136" w:rsidRPr="00F7168E">
        <w:t>procjenitelje</w:t>
      </w:r>
      <w:r w:rsidRPr="00F7168E">
        <w:t xml:space="preserve"> s odgovarajućim sadržajem otisnut je u prilogu ovog Pravilnika (obrazac broj 1).</w:t>
      </w:r>
    </w:p>
    <w:p w:rsidR="00BA0FC9" w:rsidRPr="00F7168E" w:rsidRDefault="00BA0FC9" w:rsidP="00BA0FC9">
      <w:pPr>
        <w:pStyle w:val="StandardWeb"/>
        <w:jc w:val="center"/>
      </w:pPr>
      <w:r w:rsidRPr="00F7168E">
        <w:t>Članak 34.</w:t>
      </w:r>
    </w:p>
    <w:p w:rsidR="00BA0FC9" w:rsidRPr="00F7168E" w:rsidRDefault="00BA0FC9" w:rsidP="00BA0FC9">
      <w:pPr>
        <w:pStyle w:val="StandardWeb"/>
        <w:jc w:val="both"/>
      </w:pPr>
      <w:r w:rsidRPr="00F7168E">
        <w:t>O izdanim službenim iskaznicama iz članka 33. ovog Pravilnika u nadležnom županijskom odnosno trgovačkom sudu vodi se evidencija.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Evidencija iz stavka 1. ovog članka sadrži redni broj, ime i prezime stalnog sudskog </w:t>
      </w:r>
      <w:r w:rsidR="00E14136" w:rsidRPr="00F7168E">
        <w:t>procjenitelja</w:t>
      </w:r>
      <w:r w:rsidRPr="00F7168E">
        <w:t xml:space="preserve"> kojem je izdana službena iskaznica, osobni identifikacijski broj (OIB), datum izdavanja, vrijeme trajanja ovlaštenja, datum i razlog privremenog oduzimanja i rubriku za napomene.</w:t>
      </w:r>
    </w:p>
    <w:p w:rsidR="00BA0FC9" w:rsidRPr="00F7168E" w:rsidRDefault="00BA0FC9" w:rsidP="00BA0FC9">
      <w:pPr>
        <w:pStyle w:val="StandardWeb"/>
        <w:jc w:val="center"/>
      </w:pPr>
      <w:r w:rsidRPr="00F7168E">
        <w:t>Članak 35.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Službena iskaznica oduzima se stalnom sudskom </w:t>
      </w:r>
      <w:r w:rsidR="00E14136" w:rsidRPr="00F7168E">
        <w:t>procjenitelju</w:t>
      </w:r>
      <w:r w:rsidRPr="00F7168E">
        <w:t xml:space="preserve"> kada mu je izrečena privremena uskrata odnosno privremena zabrana obavljanja poslova stalnog sudskog</w:t>
      </w:r>
      <w:r w:rsidR="00E14136" w:rsidRPr="00F7168E">
        <w:t xml:space="preserve"> procjenitelja</w:t>
      </w:r>
      <w:r w:rsidRPr="00F7168E">
        <w:t xml:space="preserve">, a poništava se kada mu prestane pravo na obavljanje poslova stalnog sudskog </w:t>
      </w:r>
      <w:r w:rsidR="00E14136" w:rsidRPr="00F7168E">
        <w:t>procjenitelja</w:t>
      </w:r>
      <w:r w:rsidRPr="00F7168E">
        <w:t xml:space="preserve"> za koje mu je izdana.</w:t>
      </w:r>
    </w:p>
    <w:p w:rsidR="00BA0FC9" w:rsidRPr="00F7168E" w:rsidRDefault="00BA0FC9" w:rsidP="00BA0FC9">
      <w:pPr>
        <w:pStyle w:val="StandardWeb"/>
        <w:jc w:val="center"/>
      </w:pPr>
      <w:r w:rsidRPr="00F7168E">
        <w:t>Članak 36.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Ako stalni sudski </w:t>
      </w:r>
      <w:r w:rsidR="00E14136" w:rsidRPr="00F7168E">
        <w:t>procjenitelj</w:t>
      </w:r>
      <w:r w:rsidRPr="00F7168E">
        <w:t xml:space="preserve"> izgubi službenu iskaznicu ili na drugi način ostane bez nje, dužan je o tome odmah obavijestiti predsjednika nadležnog županijskog odnosno trgovačkog suda radi pokretanja postupka za brisanje nestale službene iskaznice iz evidencije i izdavanja nove. </w:t>
      </w:r>
    </w:p>
    <w:p w:rsidR="00BA0FC9" w:rsidRPr="00F7168E" w:rsidRDefault="00BA0FC9" w:rsidP="00BA0FC9">
      <w:pPr>
        <w:pStyle w:val="StandardWeb"/>
        <w:jc w:val="both"/>
      </w:pPr>
      <w:r w:rsidRPr="00F7168E">
        <w:lastRenderedPageBreak/>
        <w:t xml:space="preserve">Stalni sudski </w:t>
      </w:r>
      <w:r w:rsidR="00E14136" w:rsidRPr="00F7168E">
        <w:t>procjenitelj</w:t>
      </w:r>
      <w:r w:rsidRPr="00F7168E">
        <w:t xml:space="preserve"> koji je izgubio službenu iskaznicu ili je na drugi način ostao bez nje dužan je istu oglasiti nevažećom u „Narodnim novinama“ i podnijeti zahtjev za izdavanje nove iskaznice.</w:t>
      </w:r>
    </w:p>
    <w:p w:rsidR="00BA0FC9" w:rsidRPr="00F7168E" w:rsidRDefault="00BA0FC9" w:rsidP="00BA0FC9">
      <w:pPr>
        <w:pStyle w:val="StandardWeb"/>
        <w:jc w:val="both"/>
      </w:pPr>
      <w:r w:rsidRPr="00F7168E">
        <w:t xml:space="preserve">Nova službena iskaznica pod drugim rednim brojem izdat će se stalnom sudskom </w:t>
      </w:r>
      <w:r w:rsidR="00E14136" w:rsidRPr="00F7168E">
        <w:t>procjenitelju</w:t>
      </w:r>
      <w:r w:rsidRPr="00F7168E">
        <w:t xml:space="preserve"> tek nakon što izgubljena ili na drugi način nestala službena iskaznica bude oglašena nevažećom.</w:t>
      </w:r>
    </w:p>
    <w:p w:rsidR="00BA0FC9" w:rsidRPr="00F7168E" w:rsidRDefault="00BA0FC9" w:rsidP="00BA0FC9">
      <w:pPr>
        <w:jc w:val="center"/>
      </w:pPr>
      <w:r w:rsidRPr="00F7168E">
        <w:t xml:space="preserve">POPISI STALNIH SUDSKIH </w:t>
      </w:r>
      <w:r w:rsidR="00E14136" w:rsidRPr="00F7168E">
        <w:t>PROCJENITELJA</w:t>
      </w:r>
    </w:p>
    <w:p w:rsidR="00BA0FC9" w:rsidRPr="00F7168E" w:rsidRDefault="00BA0FC9" w:rsidP="00BA0FC9">
      <w:pPr>
        <w:jc w:val="center"/>
      </w:pPr>
      <w:r w:rsidRPr="00F7168E">
        <w:br/>
        <w:t>Članak 37.</w:t>
      </w:r>
    </w:p>
    <w:p w:rsidR="00BA0FC9" w:rsidRPr="00F7168E" w:rsidRDefault="00BA0FC9" w:rsidP="00BA0FC9">
      <w:pPr>
        <w:jc w:val="both"/>
      </w:pPr>
      <w:r w:rsidRPr="00AC56FB">
        <w:rPr>
          <w:highlight w:val="yellow"/>
        </w:rPr>
        <w:br/>
      </w:r>
      <w:r w:rsidRPr="00F7168E">
        <w:t xml:space="preserve">Županijski odnosno trgovački sudovi imenovane stalne sudske </w:t>
      </w:r>
      <w:r w:rsidR="00E14136" w:rsidRPr="00F7168E">
        <w:t>procjenitelje</w:t>
      </w:r>
      <w:r w:rsidRPr="00F7168E">
        <w:t xml:space="preserve"> upisuju u Popis stalnih sudskih </w:t>
      </w:r>
      <w:r w:rsidR="00E14136" w:rsidRPr="00F7168E">
        <w:t>procjenitelja</w:t>
      </w:r>
      <w:r w:rsidRPr="00F7168E">
        <w:t xml:space="preserve"> prema obrascu broj 2 koji je sastavni dio ovog Pravilnika.</w:t>
      </w:r>
    </w:p>
    <w:p w:rsidR="00BA0FC9" w:rsidRPr="00F7168E" w:rsidRDefault="00BA0FC9" w:rsidP="00BA0FC9">
      <w:pPr>
        <w:jc w:val="center"/>
      </w:pPr>
      <w:r w:rsidRPr="00F7168E">
        <w:br/>
        <w:t>Članak 38.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both"/>
      </w:pPr>
      <w:r w:rsidRPr="00F7168E">
        <w:t xml:space="preserve">Županijski odnosno trgovački sudovi pravne osobe iz članka 4. ovog Pravilnika upisuju u Popis pravnih osoba za obavljanje poslova sudskog </w:t>
      </w:r>
      <w:r w:rsidR="00E14136" w:rsidRPr="00F7168E">
        <w:t>procjenjivanja</w:t>
      </w:r>
      <w:r w:rsidRPr="00F7168E">
        <w:t xml:space="preserve"> prema obrascu broj 3 koji je sastavni dio ovog Pravilnika.</w:t>
      </w:r>
    </w:p>
    <w:p w:rsidR="00BA0FC9" w:rsidRPr="00F7168E" w:rsidRDefault="00BA0FC9" w:rsidP="00BA0FC9">
      <w:pPr>
        <w:jc w:val="both"/>
        <w:rPr>
          <w:color w:val="FF0000"/>
        </w:rPr>
      </w:pPr>
    </w:p>
    <w:p w:rsidR="00BA0FC9" w:rsidRPr="00F7168E" w:rsidRDefault="00BA0FC9" w:rsidP="00BA0FC9">
      <w:pPr>
        <w:jc w:val="center"/>
      </w:pPr>
      <w:r w:rsidRPr="00F7168E">
        <w:t xml:space="preserve">Članak 39. </w:t>
      </w:r>
    </w:p>
    <w:p w:rsidR="00BA0FC9" w:rsidRPr="00F7168E" w:rsidRDefault="00BA0FC9" w:rsidP="00BA0FC9">
      <w:pPr>
        <w:jc w:val="center"/>
      </w:pPr>
    </w:p>
    <w:p w:rsidR="00BA0FC9" w:rsidRPr="00F7168E" w:rsidRDefault="00BA0FC9" w:rsidP="00BA0FC9">
      <w:pPr>
        <w:jc w:val="both"/>
      </w:pPr>
      <w:r w:rsidRPr="00F7168E">
        <w:t xml:space="preserve">Predsjednici županijskih i trgovačkih sudova dužni su Ministarstvu pravosuđa u roku od 15 dana od dana donošenja dostaviti primjerak rješenja o imenovanju, ponovnom imenovanju, privremenoj uskrati, privremenoj zabrani i razrješenju stalnih sudskih </w:t>
      </w:r>
      <w:r w:rsidR="00E14136" w:rsidRPr="00F7168E">
        <w:t>procjenitelja</w:t>
      </w:r>
      <w:r w:rsidRPr="00F7168E">
        <w:t xml:space="preserve"> te Ministarstvo obavijestiti o svakoj promjeni njihovih podataka.</w:t>
      </w:r>
    </w:p>
    <w:p w:rsidR="00BA0FC9" w:rsidRPr="00F7168E" w:rsidRDefault="00BA0FC9" w:rsidP="00BA0FC9">
      <w:pPr>
        <w:jc w:val="both"/>
        <w:rPr>
          <w:color w:val="FF0000"/>
        </w:rPr>
      </w:pPr>
    </w:p>
    <w:p w:rsidR="00BA0FC9" w:rsidRPr="00F7168E" w:rsidRDefault="00BA0FC9" w:rsidP="00BA0FC9">
      <w:pPr>
        <w:jc w:val="center"/>
      </w:pPr>
      <w:r w:rsidRPr="00F7168E">
        <w:t>Članak 40.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Ministarstvo pravosuđa vodi jedinstveni elektronički popis stalnih sudskih </w:t>
      </w:r>
      <w:r w:rsidR="00E14136" w:rsidRPr="00F7168E">
        <w:t>procjenitelja</w:t>
      </w:r>
      <w:r w:rsidRPr="00F7168E">
        <w:t xml:space="preserve"> i pravnih osoba za </w:t>
      </w:r>
      <w:r w:rsidR="00E14136" w:rsidRPr="00F7168E">
        <w:t>obavljanje poslova sudskog procjenjivanja</w:t>
      </w:r>
      <w:r w:rsidRPr="00F7168E">
        <w:t xml:space="preserve"> za područje cijele Republike Hrvatske. 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Ministarstvo pravosuđa će po službenoj dužnosti iz popisa iz stavka 1. ovog članka brisati one sudske </w:t>
      </w:r>
      <w:r w:rsidR="00E14136" w:rsidRPr="00F7168E">
        <w:t>procjenitelje</w:t>
      </w:r>
      <w:r w:rsidRPr="00F7168E">
        <w:t xml:space="preserve"> koji nisu ponovno imenovani, koji su razriješeni, umrli ili im je izrečena privremena uskrata ili privremena zabrana obavljanja poslova stalnog sudskog </w:t>
      </w:r>
      <w:r w:rsidR="00E14136" w:rsidRPr="00F7168E">
        <w:t xml:space="preserve">procjenitelja </w:t>
      </w:r>
      <w:r w:rsidRPr="00F7168E">
        <w:t xml:space="preserve">te pravne osobe koje su prestale s radom ili koje su prestale obavljati poslove sudskog </w:t>
      </w:r>
      <w:r w:rsidR="00E14136" w:rsidRPr="00F7168E">
        <w:t>procjenjivanja</w:t>
      </w:r>
      <w:r w:rsidRPr="00F7168E">
        <w:t xml:space="preserve">. 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>Ministarstvo pravosuđa jedinstveni elektronički popis iz stavka 1. ovog članka objavljuje na svojoj internetskoj stranici.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center"/>
      </w:pPr>
      <w:r w:rsidRPr="00F7168E">
        <w:t>Članak 41.</w:t>
      </w:r>
    </w:p>
    <w:p w:rsidR="00BA0FC9" w:rsidRPr="00F7168E" w:rsidRDefault="00BA0FC9" w:rsidP="00BA0FC9">
      <w:pPr>
        <w:jc w:val="both"/>
      </w:pPr>
      <w:r w:rsidRPr="00F7168E">
        <w:br/>
        <w:t xml:space="preserve">Županijski, trgovački i općinski sudovi objavit će na svojoj oglasnoj ploči i internetskoj stranici obavijest o mogućnosti uvida stranaka u Popis stalnih sudskih </w:t>
      </w:r>
      <w:r w:rsidR="00E14136" w:rsidRPr="00F7168E">
        <w:t>procjenitelja</w:t>
      </w:r>
      <w:r w:rsidRPr="00F7168E">
        <w:t xml:space="preserve"> i u Popis pravnih osoba za obavljanje poslova sudskog </w:t>
      </w:r>
      <w:r w:rsidR="00E14136" w:rsidRPr="00F7168E">
        <w:t>procjenjivanja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>Uvid u popise iz stavka 1. ovog članka obavlja se u uredu predsjednika suda.</w:t>
      </w:r>
    </w:p>
    <w:p w:rsidR="00BA0FC9" w:rsidRPr="00AC56FB" w:rsidRDefault="00BA0FC9" w:rsidP="00BA0FC9">
      <w:pPr>
        <w:jc w:val="center"/>
        <w:rPr>
          <w:highlight w:val="yellow"/>
        </w:rPr>
      </w:pPr>
    </w:p>
    <w:p w:rsidR="00BA0FC9" w:rsidRPr="00F7168E" w:rsidRDefault="00BA0FC9" w:rsidP="00BA0FC9">
      <w:pPr>
        <w:jc w:val="center"/>
      </w:pPr>
      <w:r w:rsidRPr="00F7168E">
        <w:t>Članak 42.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Državljani država članica Europske unije ili država potpisnica Sporazuma o Europskom gospodarskom prostoru koji su u svojoj matičnoj državi imenovani za stalnog sudskog </w:t>
      </w:r>
      <w:r w:rsidR="00E14136" w:rsidRPr="00F7168E">
        <w:t>procjenitelja</w:t>
      </w:r>
      <w:r w:rsidRPr="00F7168E">
        <w:t xml:space="preserve"> upisuju se u Popis stalnih sudskih </w:t>
      </w:r>
      <w:r w:rsidR="00E14136" w:rsidRPr="00F7168E">
        <w:t>procjenitelja</w:t>
      </w:r>
      <w:r w:rsidRPr="00F7168E">
        <w:t xml:space="preserve"> iz država članica Europske unije ili država potpisnica Sporazuma o Europskom gospodarskom prostoru koji vodi Ministarstvo pravosuđa (obrazac broj 4).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Zahtjev za upis podnosi se Ministarstvu pravosuđa. Uz zahtjev se u izvorniku ili ovjerenoj preslici te ovjerenom prijevodu na hrvatski jezik prilaže odluka o imenovanju za stalnog sudskog </w:t>
      </w:r>
      <w:r w:rsidR="00E14136" w:rsidRPr="00F7168E">
        <w:t>procjenitelja</w:t>
      </w:r>
      <w:r w:rsidRPr="00F7168E">
        <w:t>, dokaz o državljanstvu i dokaz da je sklopljen ugovor o osiguranju od odgovornosti.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>Ministarstvo pravosuđa o zahtjevu donosi rješenje protiv kojeg je dopušteno pokrenuti upravni spor.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Ako je odlukom  o imenovanju u matičnoj državi sudski </w:t>
      </w:r>
      <w:r w:rsidR="00E14136" w:rsidRPr="00F7168E">
        <w:t>procjenitelj</w:t>
      </w:r>
      <w:r w:rsidRPr="00F7168E">
        <w:t xml:space="preserve"> imenovan na određeno vrijeme, Ministarstvo pravosuđa će po službenoj dužnosti izvršiti brisanje upisanog stalnog sudskog </w:t>
      </w:r>
      <w:r w:rsidR="00E14136" w:rsidRPr="00F7168E">
        <w:t>procjenitelja</w:t>
      </w:r>
      <w:r w:rsidRPr="00F7168E">
        <w:t xml:space="preserve"> iz Popisa iz stavka 1. ovog članka po isteku vremena na koje je imenovan, osim ako prije isteka tog vremena Ministarstvu</w:t>
      </w:r>
      <w:r w:rsidRPr="00F7168E">
        <w:rPr>
          <w:color w:val="FF0000"/>
        </w:rPr>
        <w:t xml:space="preserve"> </w:t>
      </w:r>
      <w:r w:rsidRPr="00F7168E">
        <w:t xml:space="preserve">pravosuđa ne bude dostavljena odluka o ponovnom imenovanju koju je donijelo nadležno tijelo u matičnoj državi stalnog sudskog </w:t>
      </w:r>
      <w:r w:rsidR="00E14136" w:rsidRPr="00F7168E">
        <w:t>procjenitelja</w:t>
      </w:r>
      <w:r w:rsidRPr="00F7168E">
        <w:t>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procjenitelji</w:t>
      </w:r>
      <w:r w:rsidRPr="00F7168E">
        <w:t xml:space="preserve"> iz stavka 1. ovoga članka koji su upisani u Popis stalnih sudskih </w:t>
      </w:r>
      <w:r w:rsidR="00E14136" w:rsidRPr="00F7168E">
        <w:t>procjenitelja</w:t>
      </w:r>
      <w:r w:rsidRPr="00F7168E">
        <w:t xml:space="preserve"> dužni su bez odgode obavijestiti Ministarstvo pravosuđa o svakoj promjeni upisanih podataka. 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center"/>
      </w:pPr>
      <w:r w:rsidRPr="00F7168E">
        <w:t>Članak 43.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Stalni sudski </w:t>
      </w:r>
      <w:r w:rsidR="00E14136" w:rsidRPr="00F7168E">
        <w:t>procjenitelji</w:t>
      </w:r>
      <w:r w:rsidRPr="00F7168E">
        <w:t xml:space="preserve"> iz članka 42. stavak 1. ovog Pravilnika koji u Republici Hrvatskoj namjeravaju povremeno obavljati poslove </w:t>
      </w:r>
      <w:r w:rsidR="00E14136" w:rsidRPr="00F7168E">
        <w:t>procjenjivanja</w:t>
      </w:r>
      <w:r w:rsidRPr="00F7168E">
        <w:t xml:space="preserve"> dužni su prije početka obavljanja tih poslova Ministarstvu pravosuđa podnijeti pisanu izjavu o namjeri obavljanja poslova sudskog </w:t>
      </w:r>
      <w:r w:rsidR="00E14136" w:rsidRPr="00F7168E">
        <w:t>procjenjivanja</w:t>
      </w:r>
      <w:r w:rsidRPr="00F7168E">
        <w:t xml:space="preserve"> u Republici Hrvatskoj.</w:t>
      </w:r>
    </w:p>
    <w:p w:rsidR="00BA0FC9" w:rsidRPr="00F7168E" w:rsidRDefault="00BA0FC9" w:rsidP="00BA0FC9">
      <w:pPr>
        <w:jc w:val="both"/>
      </w:pPr>
    </w:p>
    <w:p w:rsidR="00BA0FC9" w:rsidRPr="00F7168E" w:rsidRDefault="00BA0FC9" w:rsidP="00BA0FC9">
      <w:pPr>
        <w:jc w:val="both"/>
      </w:pPr>
      <w:r w:rsidRPr="00F7168E">
        <w:t xml:space="preserve">Izjava iz stavka 1. ovog članka podnosi se Ministarstvu pravosuđa i za svaku godinu u kojoj namjerava obavljati poslove sudskog </w:t>
      </w:r>
      <w:r w:rsidR="00E14136" w:rsidRPr="00F7168E">
        <w:t>procjenjivanja</w:t>
      </w:r>
      <w:r w:rsidRPr="00F7168E">
        <w:t>.</w:t>
      </w:r>
    </w:p>
    <w:p w:rsidR="00BA0FC9" w:rsidRPr="00F7168E" w:rsidRDefault="00BA0FC9" w:rsidP="00BA0FC9">
      <w:pPr>
        <w:jc w:val="center"/>
      </w:pPr>
      <w:r w:rsidRPr="00F7168E">
        <w:br/>
        <w:t>Članak 44.</w:t>
      </w:r>
    </w:p>
    <w:p w:rsidR="00BA0FC9" w:rsidRPr="002057E9" w:rsidRDefault="00BA0FC9" w:rsidP="00BA0FC9">
      <w:pPr>
        <w:jc w:val="both"/>
      </w:pPr>
      <w:r w:rsidRPr="00F7168E">
        <w:br/>
        <w:t xml:space="preserve">Popisi stalnih sudskih </w:t>
      </w:r>
      <w:r w:rsidR="00E14136" w:rsidRPr="00F7168E">
        <w:t>procjenitelja</w:t>
      </w:r>
      <w:r w:rsidRPr="00F7168E">
        <w:t xml:space="preserve"> i pravnih osoba iz članka 37., 38., 40. i 42. ovog Pravilnika moraju se voditi uredno i na vrijeme.</w:t>
      </w:r>
    </w:p>
    <w:p w:rsidR="00BA0FC9" w:rsidRDefault="00B31C0D" w:rsidP="00B31C0D">
      <w:pPr>
        <w:jc w:val="center"/>
      </w:pPr>
      <w:r>
        <w:br/>
        <w:t>ZAVRŠNE ODREDBE</w:t>
      </w:r>
    </w:p>
    <w:p w:rsidR="00BA0FC9" w:rsidRDefault="00BA0FC9" w:rsidP="00BA0FC9">
      <w:pPr>
        <w:jc w:val="center"/>
      </w:pPr>
      <w:r>
        <w:br/>
        <w:t>Članak 4</w:t>
      </w:r>
      <w:r w:rsidR="00DD1658">
        <w:t>5</w:t>
      </w:r>
      <w:r>
        <w:t>.</w:t>
      </w:r>
    </w:p>
    <w:p w:rsidR="00BA0FC9" w:rsidRDefault="00BA0FC9" w:rsidP="00BA0FC9">
      <w:pPr>
        <w:jc w:val="center"/>
      </w:pPr>
    </w:p>
    <w:p w:rsidR="00BA0FC9" w:rsidRDefault="00BA0FC9" w:rsidP="00BA0FC9">
      <w:r>
        <w:t xml:space="preserve">Stalni sudski </w:t>
      </w:r>
      <w:r w:rsidR="003A4412">
        <w:t>procjenitelji</w:t>
      </w:r>
      <w:r>
        <w:t xml:space="preserve"> dužni su izraditi pečat iz članka 31. ovog Pravilnika u roku od 30 dana od dana stupanja na snagu ovog Pravilnika.</w:t>
      </w:r>
    </w:p>
    <w:p w:rsidR="00BA0FC9" w:rsidRDefault="00BA0FC9" w:rsidP="00BA0FC9">
      <w:pPr>
        <w:jc w:val="both"/>
        <w:rPr>
          <w:color w:val="0000FF"/>
        </w:rPr>
      </w:pPr>
    </w:p>
    <w:p w:rsidR="00BA0FC9" w:rsidRPr="002057E9" w:rsidRDefault="00BA0FC9" w:rsidP="00BA0FC9">
      <w:pPr>
        <w:jc w:val="center"/>
      </w:pPr>
      <w:r w:rsidRPr="002057E9">
        <w:lastRenderedPageBreak/>
        <w:t>Članak 4</w:t>
      </w:r>
      <w:r w:rsidR="00DD1658">
        <w:t>6</w:t>
      </w:r>
      <w:r w:rsidRPr="002057E9">
        <w:t>.</w:t>
      </w:r>
    </w:p>
    <w:p w:rsidR="00BA0FC9" w:rsidRDefault="00BA0FC9" w:rsidP="00BA0FC9">
      <w:pPr>
        <w:pStyle w:val="StandardWeb"/>
        <w:jc w:val="both"/>
      </w:pPr>
      <w:r w:rsidRPr="002057E9">
        <w:t xml:space="preserve">Službene iskaznice izdat će se stalnim sudskim </w:t>
      </w:r>
      <w:r w:rsidR="003A4412">
        <w:t>procjeniteljima</w:t>
      </w:r>
      <w:r w:rsidRPr="002057E9">
        <w:t xml:space="preserve"> u roku od 90 dana od</w:t>
      </w:r>
      <w:r>
        <w:t xml:space="preserve"> dana</w:t>
      </w:r>
      <w:r w:rsidRPr="002057E9">
        <w:t xml:space="preserve"> stupanja na snagu ovog Pravilnika.</w:t>
      </w:r>
    </w:p>
    <w:p w:rsidR="00BA0FC9" w:rsidRDefault="00BA0FC9" w:rsidP="00BA0FC9">
      <w:pPr>
        <w:pStyle w:val="StandardWeb"/>
        <w:jc w:val="center"/>
      </w:pPr>
      <w:r>
        <w:t>Članak 4</w:t>
      </w:r>
      <w:r w:rsidR="00DD1658">
        <w:t>7</w:t>
      </w:r>
      <w:r>
        <w:t xml:space="preserve">. </w:t>
      </w:r>
    </w:p>
    <w:p w:rsidR="00BA0FC9" w:rsidRDefault="00BA0FC9" w:rsidP="00BA0FC9">
      <w:pPr>
        <w:jc w:val="both"/>
      </w:pPr>
      <w:r>
        <w:t>Je</w:t>
      </w:r>
      <w:r w:rsidRPr="00BE7430">
        <w:t xml:space="preserve">dinstveni elektronički popis stalnih sudskih </w:t>
      </w:r>
      <w:r w:rsidR="003A4412">
        <w:t>procjenitelja</w:t>
      </w:r>
      <w:r>
        <w:t xml:space="preserve"> i</w:t>
      </w:r>
      <w:r w:rsidRPr="00BE7430">
        <w:t xml:space="preserve"> pravnih osoba za </w:t>
      </w:r>
      <w:r>
        <w:t xml:space="preserve">obavljanje poslova sudskog </w:t>
      </w:r>
      <w:r w:rsidR="003A4412">
        <w:t>procjenjivanja</w:t>
      </w:r>
      <w:r w:rsidRPr="00BE7430">
        <w:t xml:space="preserve"> za pod</w:t>
      </w:r>
      <w:r>
        <w:t>ručje cijele Republike Hrvatske Ministarstvo pravosuđa ustrojit će roku od 90 dana od dana stupanja na snagu ovog Pravilnika.</w:t>
      </w:r>
      <w:r w:rsidRPr="00BE7430">
        <w:t xml:space="preserve"> </w:t>
      </w:r>
    </w:p>
    <w:p w:rsidR="00BA0FC9" w:rsidRPr="002057E9" w:rsidRDefault="00BA0FC9" w:rsidP="00BA0FC9">
      <w:pPr>
        <w:jc w:val="both"/>
      </w:pPr>
    </w:p>
    <w:p w:rsidR="00BA0FC9" w:rsidRPr="002057E9" w:rsidRDefault="00BA0FC9" w:rsidP="00BA0FC9">
      <w:pPr>
        <w:jc w:val="center"/>
      </w:pPr>
      <w:r w:rsidRPr="002057E9">
        <w:t xml:space="preserve">Članak </w:t>
      </w:r>
      <w:r>
        <w:t>4</w:t>
      </w:r>
      <w:r w:rsidR="00DD1658">
        <w:t>8</w:t>
      </w:r>
      <w:r>
        <w:t>.</w:t>
      </w:r>
    </w:p>
    <w:p w:rsidR="00BA0FC9" w:rsidRDefault="00BA0FC9" w:rsidP="00BA0FC9">
      <w:pPr>
        <w:jc w:val="both"/>
      </w:pPr>
      <w:r>
        <w:br/>
        <w:t xml:space="preserve">Stupanjem na snagu ovog Pravilnika prestaje važiti Pravilnik o stalnim sudskim </w:t>
      </w:r>
      <w:r w:rsidR="003A4412">
        <w:t>procjeniteljima</w:t>
      </w:r>
      <w:r>
        <w:t xml:space="preserve"> („Narodne novine“ broj </w:t>
      </w:r>
      <w:r w:rsidR="003A4412">
        <w:t>64</w:t>
      </w:r>
      <w:r>
        <w:t>/</w:t>
      </w:r>
      <w:r w:rsidR="003A4412">
        <w:t>9</w:t>
      </w:r>
      <w:r>
        <w:t>8</w:t>
      </w:r>
      <w:r w:rsidR="003A4412">
        <w:t xml:space="preserve"> </w:t>
      </w:r>
      <w:r>
        <w:t xml:space="preserve">i </w:t>
      </w:r>
      <w:r w:rsidR="003A4412">
        <w:t>88/08</w:t>
      </w:r>
      <w:r>
        <w:t>).</w:t>
      </w:r>
    </w:p>
    <w:p w:rsidR="00BA0FC9" w:rsidRDefault="00DD1658" w:rsidP="00BA0FC9">
      <w:pPr>
        <w:jc w:val="center"/>
      </w:pPr>
      <w:r>
        <w:br/>
        <w:t>Članak 49</w:t>
      </w:r>
      <w:r w:rsidR="00BA0FC9">
        <w:t>.</w:t>
      </w:r>
    </w:p>
    <w:p w:rsidR="00BA0FC9" w:rsidRDefault="00BA0FC9" w:rsidP="00BA0FC9">
      <w:pPr>
        <w:jc w:val="both"/>
      </w:pPr>
      <w:r>
        <w:br/>
        <w:t>Ovaj Pravilnik stupa na snagu osmog dana od dana objave u „Narodnim novinama“.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2FB2">
        <w:rPr>
          <w:b/>
        </w:rPr>
        <w:t>M I N I S T A R</w:t>
      </w:r>
      <w:r>
        <w:t xml:space="preserve"> </w:t>
      </w:r>
    </w:p>
    <w:p w:rsidR="00AC56FB" w:rsidRDefault="00BA0FC9" w:rsidP="00BA0FC9">
      <w:pPr>
        <w:jc w:val="both"/>
      </w:pPr>
      <w:r>
        <w:t xml:space="preserve">Urbroj: </w:t>
      </w:r>
    </w:p>
    <w:p w:rsidR="00AC56FB" w:rsidRDefault="00AC56FB" w:rsidP="00AC56FB">
      <w:pPr>
        <w:ind w:left="4956" w:firstLine="708"/>
      </w:pPr>
      <w:r>
        <w:rPr>
          <w:b/>
        </w:rPr>
        <w:t>Orsat</w:t>
      </w:r>
      <w:r>
        <w:rPr>
          <w:b/>
        </w:rPr>
        <w:tab/>
      </w:r>
      <w:r w:rsidRPr="00402FB2">
        <w:rPr>
          <w:b/>
        </w:rPr>
        <w:t>Miljenić</w:t>
      </w:r>
    </w:p>
    <w:p w:rsidR="00BA0FC9" w:rsidRDefault="00BA0FC9" w:rsidP="00AC56FB">
      <w:pPr>
        <w:ind w:left="4956" w:hanging="4956"/>
      </w:pPr>
      <w:r>
        <w:t>Zagreb, 1</w:t>
      </w:r>
      <w:r w:rsidR="003A4412">
        <w:t>4</w:t>
      </w:r>
      <w:r>
        <w:t xml:space="preserve">. </w:t>
      </w:r>
      <w:r w:rsidR="003A4412">
        <w:t>ožujka</w:t>
      </w:r>
      <w:r>
        <w:t xml:space="preserve"> 2014.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AC56FB" w:rsidRDefault="00AC56FB" w:rsidP="00BA0FC9">
      <w:pPr>
        <w:pStyle w:val="StandardWeb"/>
      </w:pPr>
    </w:p>
    <w:p w:rsidR="00AC56FB" w:rsidRDefault="00AC56FB" w:rsidP="00BA0FC9">
      <w:pPr>
        <w:pStyle w:val="StandardWeb"/>
      </w:pPr>
    </w:p>
    <w:p w:rsidR="00AC56FB" w:rsidRDefault="00AC56FB" w:rsidP="00BA0FC9">
      <w:pPr>
        <w:pStyle w:val="StandardWeb"/>
      </w:pPr>
    </w:p>
    <w:p w:rsidR="00DD1658" w:rsidRDefault="00DD1658" w:rsidP="00BA0FC9">
      <w:pPr>
        <w:pStyle w:val="StandardWeb"/>
      </w:pPr>
    </w:p>
    <w:p w:rsidR="00DD1658" w:rsidRDefault="00DD1658" w:rsidP="00BA0FC9">
      <w:pPr>
        <w:pStyle w:val="StandardWeb"/>
      </w:pPr>
    </w:p>
    <w:p w:rsidR="00BA0FC9" w:rsidRDefault="00BA0FC9" w:rsidP="00BA0FC9">
      <w:pPr>
        <w:pStyle w:val="StandardWeb"/>
      </w:pPr>
    </w:p>
    <w:p w:rsidR="00DD1658" w:rsidRDefault="00DD1658" w:rsidP="00BA0FC9">
      <w:pPr>
        <w:jc w:val="both"/>
      </w:pPr>
    </w:p>
    <w:p w:rsidR="00BA0FC9" w:rsidRPr="0014609C" w:rsidRDefault="00BA0FC9" w:rsidP="00BA0FC9">
      <w:pPr>
        <w:jc w:val="both"/>
      </w:pPr>
      <w:r>
        <w:lastRenderedPageBreak/>
        <w:t xml:space="preserve">Obrazac br. 1 (8,5 x </w:t>
      </w:r>
      <w:smartTag w:uri="urn:schemas-microsoft-com:office:smarttags" w:element="metricconverter">
        <w:smartTagPr>
          <w:attr w:name="ProductID" w:val="5,5 mm"/>
        </w:smartTagPr>
        <w:r>
          <w:t>5,5 mm</w:t>
        </w:r>
      </w:smartTag>
      <w:r>
        <w:t xml:space="preserve">) – službena iskaznica </w:t>
      </w: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>1. stranica</w:t>
      </w:r>
    </w:p>
    <w:p w:rsidR="00BA0FC9" w:rsidRDefault="00BA0FC9" w:rsidP="00BA0FC9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00"/>
      </w:tblGrid>
      <w:tr w:rsidR="00BA0FC9" w:rsidTr="00194DF5">
        <w:trPr>
          <w:trHeight w:val="3672"/>
        </w:trPr>
        <w:tc>
          <w:tcPr>
            <w:tcW w:w="6300" w:type="dxa"/>
          </w:tcPr>
          <w:p w:rsidR="00BA0FC9" w:rsidRDefault="00BA0FC9" w:rsidP="00194DF5">
            <w:pPr>
              <w:ind w:left="180"/>
              <w:jc w:val="both"/>
            </w:pPr>
          </w:p>
          <w:tbl>
            <w:tblPr>
              <w:tblpPr w:leftFromText="180" w:rightFromText="180" w:vertAnchor="text" w:horzAnchor="page" w:tblpX="4124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615"/>
            </w:tblGrid>
            <w:tr w:rsidR="00BA0FC9" w:rsidTr="00194DF5">
              <w:trPr>
                <w:trHeight w:val="1964"/>
              </w:trPr>
              <w:tc>
                <w:tcPr>
                  <w:tcW w:w="1615" w:type="dxa"/>
                </w:tcPr>
                <w:p w:rsidR="00BA0FC9" w:rsidRDefault="00BA0FC9" w:rsidP="00194DF5">
                  <w:pPr>
                    <w:widowControl w:val="0"/>
                    <w:tabs>
                      <w:tab w:val="left" w:pos="3240"/>
                    </w:tabs>
                    <w:jc w:val="center"/>
                    <w:rPr>
                      <w:rFonts w:ascii="Arial" w:hAnsi="Arial" w:cs="Arial"/>
                      <w:snapToGrid w:val="0"/>
                    </w:rPr>
                  </w:pPr>
                </w:p>
                <w:p w:rsidR="00BA0FC9" w:rsidRDefault="00BA0FC9" w:rsidP="00194DF5">
                  <w:pPr>
                    <w:widowControl w:val="0"/>
                    <w:tabs>
                      <w:tab w:val="left" w:pos="3240"/>
                    </w:tabs>
                    <w:jc w:val="center"/>
                    <w:rPr>
                      <w:rFonts w:ascii="Arial" w:hAnsi="Arial" w:cs="Arial"/>
                      <w:snapToGrid w:val="0"/>
                    </w:rPr>
                  </w:pPr>
                </w:p>
                <w:p w:rsidR="00BA0FC9" w:rsidRDefault="00BA0FC9" w:rsidP="00194DF5">
                  <w:pPr>
                    <w:widowControl w:val="0"/>
                    <w:tabs>
                      <w:tab w:val="left" w:pos="3240"/>
                    </w:tabs>
                    <w:jc w:val="center"/>
                    <w:rPr>
                      <w:rFonts w:ascii="Arial" w:hAnsi="Arial" w:cs="Arial"/>
                      <w:snapToGrid w:val="0"/>
                    </w:rPr>
                  </w:pPr>
                </w:p>
                <w:p w:rsidR="00BA0FC9" w:rsidRPr="00442318" w:rsidRDefault="00BA0FC9" w:rsidP="00194DF5">
                  <w:pPr>
                    <w:widowControl w:val="0"/>
                    <w:tabs>
                      <w:tab w:val="left" w:pos="3240"/>
                    </w:tabs>
                    <w:jc w:val="center"/>
                    <w:rPr>
                      <w:snapToGrid w:val="0"/>
                      <w:sz w:val="20"/>
                    </w:rPr>
                  </w:pPr>
                  <w:r w:rsidRPr="00442318">
                    <w:rPr>
                      <w:snapToGrid w:val="0"/>
                      <w:sz w:val="20"/>
                    </w:rPr>
                    <w:t>Fotografija</w:t>
                  </w:r>
                </w:p>
                <w:p w:rsidR="00BA0FC9" w:rsidRDefault="00BA0FC9" w:rsidP="00194DF5">
                  <w:pPr>
                    <w:widowControl w:val="0"/>
                    <w:tabs>
                      <w:tab w:val="left" w:pos="3240"/>
                    </w:tabs>
                    <w:jc w:val="center"/>
                    <w:rPr>
                      <w:rFonts w:ascii="Arial" w:hAnsi="Arial" w:cs="Arial"/>
                      <w:snapToGrid w:val="0"/>
                    </w:rPr>
                  </w:pPr>
                  <w:r w:rsidRPr="00442318">
                    <w:rPr>
                      <w:snapToGrid w:val="0"/>
                      <w:sz w:val="20"/>
                    </w:rPr>
                    <w:t>28x32</w:t>
                  </w:r>
                  <w:r>
                    <w:rPr>
                      <w:snapToGrid w:val="0"/>
                      <w:sz w:val="20"/>
                    </w:rPr>
                    <w:t xml:space="preserve"> mm</w:t>
                  </w:r>
                </w:p>
              </w:tc>
            </w:tr>
          </w:tbl>
          <w:p w:rsidR="00BA0FC9" w:rsidRPr="00E00FC7" w:rsidRDefault="00DD1658" w:rsidP="00194DF5">
            <w:pPr>
              <w:widowControl w:val="0"/>
              <w:tabs>
                <w:tab w:val="left" w:pos="3240"/>
              </w:tabs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ŽUPANIJSKI ILI</w:t>
            </w:r>
            <w:r w:rsidR="00BA0FC9">
              <w:rPr>
                <w:b/>
                <w:snapToGrid w:val="0"/>
                <w:sz w:val="20"/>
              </w:rPr>
              <w:t xml:space="preserve"> TRGOVAČKI SUD</w:t>
            </w:r>
          </w:p>
          <w:p w:rsidR="00BA0FC9" w:rsidRPr="00E00FC7" w:rsidRDefault="00BA0FC9" w:rsidP="00194DF5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(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naziv suda)</w:t>
            </w:r>
          </w:p>
          <w:p w:rsidR="00BA0FC9" w:rsidRDefault="00BA0FC9" w:rsidP="00194DF5">
            <w:pPr>
              <w:jc w:val="both"/>
              <w:rPr>
                <w:rFonts w:ascii="Arial" w:hAnsi="Arial" w:cs="Arial"/>
                <w:snapToGrid w:val="0"/>
              </w:rPr>
            </w:pPr>
          </w:p>
          <w:p w:rsidR="00BA0FC9" w:rsidRDefault="00BA0FC9" w:rsidP="00194DF5">
            <w:pPr>
              <w:jc w:val="both"/>
              <w:rPr>
                <w:rFonts w:ascii="Arial" w:hAnsi="Arial" w:cs="Arial"/>
                <w:snapToGrid w:val="0"/>
              </w:rPr>
            </w:pPr>
          </w:p>
          <w:p w:rsidR="00BA0FC9" w:rsidRPr="005E7CCB" w:rsidRDefault="00BA0FC9" w:rsidP="00194DF5">
            <w:pPr>
              <w:jc w:val="both"/>
              <w:rPr>
                <w:rFonts w:ascii="Arial" w:hAnsi="Arial" w:cs="Arial"/>
                <w:snapToGrid w:val="0"/>
              </w:rPr>
            </w:pPr>
          </w:p>
          <w:p w:rsidR="00BA0FC9" w:rsidRPr="00442318" w:rsidRDefault="00BA0FC9" w:rsidP="00194DF5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              </w:t>
            </w:r>
            <w:r w:rsidRPr="00442318">
              <w:rPr>
                <w:b/>
                <w:sz w:val="20"/>
              </w:rPr>
              <w:t>SLUŽBENA ISKAZNICA</w:t>
            </w:r>
          </w:p>
          <w:p w:rsidR="00BA0FC9" w:rsidRDefault="00BA0FC9" w:rsidP="003A4412">
            <w:pPr>
              <w:rPr>
                <w:b/>
              </w:rPr>
            </w:pPr>
            <w:r w:rsidRPr="00442318">
              <w:rPr>
                <w:b/>
                <w:sz w:val="20"/>
              </w:rPr>
              <w:t>ST</w:t>
            </w:r>
            <w:r>
              <w:rPr>
                <w:b/>
                <w:sz w:val="20"/>
              </w:rPr>
              <w:t xml:space="preserve">ALNOG SUDSKOG </w:t>
            </w:r>
            <w:r w:rsidR="003A4412">
              <w:rPr>
                <w:b/>
                <w:sz w:val="20"/>
              </w:rPr>
              <w:t>PROCJENITELJA</w:t>
            </w:r>
          </w:p>
          <w:p w:rsidR="00BA0FC9" w:rsidRDefault="00BA0FC9" w:rsidP="00194DF5">
            <w:pPr>
              <w:tabs>
                <w:tab w:val="left" w:pos="5020"/>
              </w:tabs>
              <w:jc w:val="both"/>
              <w:rPr>
                <w:b/>
                <w:sz w:val="20"/>
                <w:szCs w:val="20"/>
              </w:rPr>
            </w:pPr>
            <w:r w:rsidRPr="00E00FC7">
              <w:rPr>
                <w:b/>
                <w:sz w:val="20"/>
                <w:szCs w:val="20"/>
              </w:rPr>
              <w:t xml:space="preserve">     </w:t>
            </w:r>
          </w:p>
          <w:p w:rsidR="00BA0FC9" w:rsidRPr="00E00FC7" w:rsidRDefault="00BA0FC9" w:rsidP="00194DF5">
            <w:pPr>
              <w:tabs>
                <w:tab w:val="left" w:pos="5020"/>
              </w:tabs>
              <w:jc w:val="both"/>
              <w:rPr>
                <w:b/>
                <w:sz w:val="20"/>
                <w:szCs w:val="20"/>
              </w:rPr>
            </w:pPr>
            <w:r w:rsidRPr="00E00FC7">
              <w:rPr>
                <w:b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E00FC7">
              <w:rPr>
                <w:b/>
                <w:sz w:val="20"/>
                <w:szCs w:val="20"/>
              </w:rPr>
              <w:t xml:space="preserve"> </w:t>
            </w:r>
          </w:p>
          <w:p w:rsidR="00BA0FC9" w:rsidRPr="00E00FC7" w:rsidRDefault="00BA0FC9" w:rsidP="00194DF5">
            <w:pPr>
              <w:jc w:val="both"/>
              <w:rPr>
                <w:b/>
                <w:sz w:val="20"/>
                <w:szCs w:val="20"/>
              </w:rPr>
            </w:pPr>
            <w:r w:rsidRPr="00E00FC7">
              <w:rPr>
                <w:b/>
                <w:sz w:val="20"/>
                <w:szCs w:val="20"/>
              </w:rPr>
              <w:t xml:space="preserve">  IME:</w:t>
            </w:r>
            <w:r w:rsidRPr="00E00FC7">
              <w:rPr>
                <w:b/>
                <w:sz w:val="20"/>
                <w:szCs w:val="20"/>
              </w:rPr>
              <w:tab/>
            </w:r>
            <w:r w:rsidRPr="00E00FC7">
              <w:rPr>
                <w:b/>
                <w:sz w:val="20"/>
                <w:szCs w:val="20"/>
              </w:rPr>
              <w:tab/>
            </w:r>
            <w:r w:rsidRPr="00E00FC7">
              <w:rPr>
                <w:b/>
                <w:sz w:val="20"/>
                <w:szCs w:val="20"/>
              </w:rPr>
              <w:tab/>
            </w:r>
            <w:r w:rsidRPr="00E00FC7">
              <w:rPr>
                <w:b/>
                <w:sz w:val="20"/>
                <w:szCs w:val="20"/>
              </w:rPr>
              <w:tab/>
            </w:r>
            <w:r w:rsidRPr="00E00FC7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r</w:t>
            </w:r>
            <w:r w:rsidRPr="00E00FC7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d</w:t>
            </w:r>
            <w:r w:rsidRPr="00E00FC7">
              <w:rPr>
                <w:b/>
                <w:sz w:val="20"/>
                <w:szCs w:val="20"/>
              </w:rPr>
              <w:t>. br.</w:t>
            </w:r>
            <w:r w:rsidRPr="00E00FC7">
              <w:rPr>
                <w:b/>
                <w:sz w:val="20"/>
                <w:szCs w:val="20"/>
              </w:rPr>
              <w:tab/>
            </w:r>
            <w:r w:rsidRPr="00E00FC7">
              <w:rPr>
                <w:b/>
                <w:sz w:val="20"/>
                <w:szCs w:val="20"/>
              </w:rPr>
              <w:tab/>
            </w:r>
          </w:p>
          <w:p w:rsidR="00BA0FC9" w:rsidRDefault="00BA0FC9" w:rsidP="00194DF5">
            <w:pPr>
              <w:widowControl w:val="0"/>
              <w:rPr>
                <w:b/>
                <w:sz w:val="20"/>
                <w:szCs w:val="20"/>
              </w:rPr>
            </w:pPr>
            <w:r w:rsidRPr="00E00FC7">
              <w:rPr>
                <w:b/>
                <w:sz w:val="20"/>
                <w:szCs w:val="20"/>
              </w:rPr>
              <w:t xml:space="preserve">  PREZIME:</w:t>
            </w:r>
          </w:p>
          <w:p w:rsidR="00BA0FC9" w:rsidRDefault="00BA0FC9" w:rsidP="00194DF5">
            <w:pPr>
              <w:widowControl w:val="0"/>
            </w:pPr>
            <w:r>
              <w:rPr>
                <w:b/>
                <w:sz w:val="20"/>
                <w:szCs w:val="20"/>
              </w:rPr>
              <w:t xml:space="preserve">  OIB:</w:t>
            </w:r>
          </w:p>
        </w:tc>
      </w:tr>
    </w:tbl>
    <w:p w:rsidR="00BA0FC9" w:rsidRDefault="00BA0FC9" w:rsidP="00BA0FC9">
      <w:pPr>
        <w:widowControl w:val="0"/>
        <w:ind w:left="142"/>
        <w:rPr>
          <w:rFonts w:ascii="Arial" w:hAnsi="Arial" w:cs="Arial"/>
          <w:snapToGrid w:val="0"/>
        </w:rPr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  <w:r>
        <w:t>2. stranica</w:t>
      </w:r>
    </w:p>
    <w:p w:rsidR="00BA0FC9" w:rsidRDefault="00BA0FC9" w:rsidP="00BA0FC9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</w:tblGrid>
      <w:tr w:rsidR="00BA0FC9" w:rsidTr="00194DF5">
        <w:trPr>
          <w:trHeight w:val="3713"/>
        </w:trPr>
        <w:tc>
          <w:tcPr>
            <w:tcW w:w="6300" w:type="dxa"/>
          </w:tcPr>
          <w:p w:rsidR="00BA0FC9" w:rsidRDefault="00BA0FC9" w:rsidP="00194DF5">
            <w:pPr>
              <w:widowControl w:val="0"/>
              <w:ind w:left="322"/>
            </w:pPr>
          </w:p>
          <w:p w:rsidR="00BA0FC9" w:rsidRDefault="00BA0FC9" w:rsidP="00194DF5">
            <w:pPr>
              <w:widowControl w:val="0"/>
              <w:ind w:left="322"/>
              <w:rPr>
                <w:sz w:val="20"/>
              </w:rPr>
            </w:pPr>
          </w:p>
          <w:p w:rsidR="00BA0FC9" w:rsidRDefault="00BA0FC9" w:rsidP="00194DF5">
            <w:pPr>
              <w:widowControl w:val="0"/>
              <w:ind w:left="322"/>
              <w:rPr>
                <w:sz w:val="20"/>
              </w:rPr>
            </w:pPr>
          </w:p>
          <w:p w:rsidR="00BA0FC9" w:rsidRDefault="00BA0FC9" w:rsidP="00194DF5">
            <w:pPr>
              <w:widowControl w:val="0"/>
              <w:ind w:left="322"/>
              <w:rPr>
                <w:sz w:val="20"/>
              </w:rPr>
            </w:pPr>
            <w:r w:rsidRPr="008A0973">
              <w:rPr>
                <w:sz w:val="20"/>
              </w:rPr>
              <w:t>S</w:t>
            </w:r>
            <w:r>
              <w:rPr>
                <w:sz w:val="20"/>
              </w:rPr>
              <w:t xml:space="preserve">talni sudski </w:t>
            </w:r>
            <w:r w:rsidR="003A4412">
              <w:rPr>
                <w:sz w:val="20"/>
              </w:rPr>
              <w:t>procjenitelj</w:t>
            </w:r>
            <w:r>
              <w:rPr>
                <w:sz w:val="20"/>
              </w:rPr>
              <w:t xml:space="preserve"> imenovan je: </w:t>
            </w:r>
            <w:r w:rsidRPr="008A0973">
              <w:rPr>
                <w:sz w:val="20"/>
              </w:rPr>
              <w:t xml:space="preserve"> </w:t>
            </w:r>
          </w:p>
          <w:p w:rsidR="00BA0FC9" w:rsidRDefault="00BA0FC9" w:rsidP="00194DF5">
            <w:pPr>
              <w:widowControl w:val="0"/>
              <w:ind w:left="322"/>
              <w:rPr>
                <w:sz w:val="20"/>
              </w:rPr>
            </w:pPr>
          </w:p>
          <w:p w:rsidR="00BA0FC9" w:rsidRPr="008A0973" w:rsidRDefault="00BA0FC9" w:rsidP="00194DF5">
            <w:pPr>
              <w:widowControl w:val="0"/>
              <w:ind w:left="322"/>
              <w:rPr>
                <w:sz w:val="20"/>
              </w:rPr>
            </w:pPr>
            <w:r>
              <w:rPr>
                <w:sz w:val="20"/>
              </w:rPr>
              <w:t xml:space="preserve">                              </w:t>
            </w:r>
            <w:r w:rsidRPr="008A0973">
              <w:rPr>
                <w:sz w:val="20"/>
              </w:rPr>
              <w:t xml:space="preserve">      ________________________</w:t>
            </w:r>
          </w:p>
          <w:p w:rsidR="00BA0FC9" w:rsidRPr="008A0973" w:rsidRDefault="00BA0FC9" w:rsidP="00194DF5">
            <w:pPr>
              <w:tabs>
                <w:tab w:val="left" w:pos="2085"/>
              </w:tabs>
              <w:rPr>
                <w:sz w:val="20"/>
              </w:rPr>
            </w:pPr>
            <w:r w:rsidRPr="008A0973">
              <w:rPr>
                <w:sz w:val="20"/>
              </w:rPr>
              <w:tab/>
            </w:r>
            <w:r>
              <w:rPr>
                <w:sz w:val="20"/>
              </w:rPr>
              <w:t xml:space="preserve">            </w:t>
            </w:r>
            <w:r w:rsidRPr="008A0973">
              <w:rPr>
                <w:sz w:val="20"/>
              </w:rPr>
              <w:t>(</w:t>
            </w:r>
            <w:r>
              <w:rPr>
                <w:sz w:val="20"/>
              </w:rPr>
              <w:t>dan, mjesec i godina</w:t>
            </w:r>
            <w:r w:rsidRPr="008A0973">
              <w:rPr>
                <w:sz w:val="20"/>
              </w:rPr>
              <w:t>)</w:t>
            </w:r>
          </w:p>
          <w:p w:rsidR="00BA0FC9" w:rsidRDefault="00BA0FC9" w:rsidP="00194DF5">
            <w:pPr>
              <w:tabs>
                <w:tab w:val="left" w:pos="4740"/>
              </w:tabs>
              <w:rPr>
                <w:sz w:val="20"/>
              </w:rPr>
            </w:pPr>
            <w:r w:rsidRPr="008A0973">
              <w:rPr>
                <w:sz w:val="20"/>
              </w:rPr>
              <w:tab/>
              <w:t xml:space="preserve">                 </w:t>
            </w:r>
          </w:p>
          <w:p w:rsidR="00BA0FC9" w:rsidRPr="008A0973" w:rsidRDefault="00BA0FC9" w:rsidP="00194DF5">
            <w:pPr>
              <w:tabs>
                <w:tab w:val="left" w:pos="4740"/>
              </w:tabs>
              <w:rPr>
                <w:sz w:val="20"/>
              </w:rPr>
            </w:pPr>
          </w:p>
          <w:p w:rsidR="00BA0FC9" w:rsidRPr="008A0973" w:rsidRDefault="00BA0FC9" w:rsidP="00194DF5">
            <w:pPr>
              <w:tabs>
                <w:tab w:val="left" w:pos="4740"/>
              </w:tabs>
              <w:rPr>
                <w:sz w:val="20"/>
              </w:rPr>
            </w:pPr>
            <w:r w:rsidRPr="008A0973">
              <w:rPr>
                <w:sz w:val="20"/>
              </w:rPr>
              <w:t xml:space="preserve">                                                                     </w:t>
            </w:r>
            <w:r>
              <w:rPr>
                <w:sz w:val="20"/>
              </w:rPr>
              <w:t xml:space="preserve">            Predsjednik suda</w:t>
            </w:r>
          </w:p>
          <w:p w:rsidR="00BA0FC9" w:rsidRPr="008A0973" w:rsidRDefault="00BA0FC9" w:rsidP="00194DF5">
            <w:pPr>
              <w:rPr>
                <w:sz w:val="20"/>
              </w:rPr>
            </w:pPr>
          </w:p>
          <w:p w:rsidR="00BA0FC9" w:rsidRPr="008A0973" w:rsidRDefault="00BA0FC9" w:rsidP="00194DF5">
            <w:pPr>
              <w:rPr>
                <w:sz w:val="20"/>
              </w:rPr>
            </w:pPr>
            <w:r>
              <w:rPr>
                <w:sz w:val="20"/>
              </w:rPr>
              <w:t xml:space="preserve"> Datum izdavanja</w:t>
            </w:r>
            <w:r w:rsidRPr="008A0973">
              <w:rPr>
                <w:sz w:val="20"/>
              </w:rPr>
              <w:t xml:space="preserve">____________          M.P.    </w:t>
            </w:r>
            <w:r>
              <w:rPr>
                <w:sz w:val="20"/>
              </w:rPr>
              <w:t xml:space="preserve">          </w:t>
            </w:r>
            <w:r w:rsidRPr="008A0973">
              <w:rPr>
                <w:sz w:val="20"/>
              </w:rPr>
              <w:t xml:space="preserve">  </w:t>
            </w:r>
            <w:r>
              <w:rPr>
                <w:sz w:val="20"/>
              </w:rPr>
              <w:t>_</w:t>
            </w:r>
            <w:r w:rsidRPr="008A0973">
              <w:rPr>
                <w:sz w:val="20"/>
              </w:rPr>
              <w:t>___</w:t>
            </w:r>
            <w:r>
              <w:rPr>
                <w:sz w:val="20"/>
              </w:rPr>
              <w:t>______</w:t>
            </w:r>
          </w:p>
          <w:p w:rsidR="00BA0FC9" w:rsidRDefault="00BA0FC9" w:rsidP="00194DF5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BA0FC9" w:rsidRDefault="00BA0FC9" w:rsidP="00194DF5">
            <w:pPr>
              <w:rPr>
                <w:sz w:val="20"/>
              </w:rPr>
            </w:pPr>
            <w:r>
              <w:rPr>
                <w:sz w:val="20"/>
              </w:rPr>
              <w:t xml:space="preserve"> Vrijedi do:  ________________</w:t>
            </w:r>
          </w:p>
          <w:p w:rsidR="00BA0FC9" w:rsidRPr="00442318" w:rsidRDefault="00BA0FC9" w:rsidP="00194DF5">
            <w:r>
              <w:rPr>
                <w:sz w:val="20"/>
              </w:rPr>
              <w:t xml:space="preserve">    </w:t>
            </w:r>
          </w:p>
        </w:tc>
      </w:tr>
    </w:tbl>
    <w:p w:rsidR="00BA0FC9" w:rsidRDefault="00BA0FC9" w:rsidP="00BA0FC9">
      <w:pPr>
        <w:widowControl w:val="0"/>
        <w:ind w:left="142"/>
        <w:rPr>
          <w:rFonts w:ascii="Arial" w:hAnsi="Arial" w:cs="Arial"/>
          <w:snapToGrid w:val="0"/>
        </w:rPr>
      </w:pPr>
    </w:p>
    <w:p w:rsidR="00BA0FC9" w:rsidRDefault="00BA0FC9" w:rsidP="00BA0FC9">
      <w:pPr>
        <w:widowControl w:val="0"/>
        <w:ind w:left="142"/>
        <w:rPr>
          <w:rFonts w:ascii="Arial" w:hAnsi="Arial" w:cs="Arial"/>
          <w:snapToGrid w:val="0"/>
        </w:rPr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  <w:r>
        <w:lastRenderedPageBreak/>
        <w:t xml:space="preserve">Obrazac br. 2 </w:t>
      </w:r>
      <w:r>
        <w:br/>
        <w:t>(297 × 210 mm)</w:t>
      </w:r>
      <w:r>
        <w:br/>
      </w:r>
      <w:r>
        <w:br/>
      </w:r>
      <w:r>
        <w:br/>
        <w:t>(naziv i sjedište suda)</w:t>
      </w:r>
    </w:p>
    <w:p w:rsidR="00BA0FC9" w:rsidRDefault="00BA0FC9" w:rsidP="00BA0FC9">
      <w:pPr>
        <w:pStyle w:val="StandardWeb"/>
      </w:pPr>
      <w:r>
        <w:t xml:space="preserve">POPIS STALNIH SUDSKIH </w:t>
      </w:r>
      <w:r w:rsidR="003A4412">
        <w:t>PROCJENITELJA</w:t>
      </w:r>
      <w:r>
        <w:t> 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744"/>
        <w:gridCol w:w="876"/>
        <w:gridCol w:w="900"/>
        <w:gridCol w:w="720"/>
        <w:gridCol w:w="1056"/>
        <w:gridCol w:w="1080"/>
        <w:gridCol w:w="900"/>
        <w:gridCol w:w="900"/>
      </w:tblGrid>
      <w:tr w:rsidR="00BA0FC9" w:rsidTr="00194DF5">
        <w:trPr>
          <w:trHeight w:val="60"/>
        </w:trPr>
        <w:tc>
          <w:tcPr>
            <w:tcW w:w="5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Red. br.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Prezime i ime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Adresa, broj </w:t>
            </w:r>
            <w:r>
              <w:rPr>
                <w:spacing w:val="-4"/>
                <w:sz w:val="18"/>
                <w:szCs w:val="18"/>
              </w:rPr>
              <w:br/>
              <w:t>telefona i e-mail adresa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 w:rsidRPr="00740551">
              <w:rPr>
                <w:spacing w:val="-4"/>
                <w:sz w:val="18"/>
                <w:szCs w:val="18"/>
              </w:rPr>
              <w:t>Zanimanje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Stručna </w:t>
            </w:r>
            <w:r>
              <w:rPr>
                <w:spacing w:val="-4"/>
                <w:sz w:val="18"/>
                <w:szCs w:val="18"/>
              </w:rPr>
              <w:br/>
              <w:t xml:space="preserve">sprema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740551" w:rsidP="00194DF5">
            <w:pPr>
              <w:pStyle w:val="t-98bezuvl"/>
              <w:jc w:val="center"/>
              <w:rPr>
                <w:sz w:val="20"/>
                <w:szCs w:val="20"/>
              </w:rPr>
            </w:pPr>
            <w:r w:rsidRPr="00DD1658">
              <w:rPr>
                <w:spacing w:val="-4"/>
                <w:sz w:val="18"/>
                <w:szCs w:val="18"/>
              </w:rPr>
              <w:t>Djelatnost-struka</w:t>
            </w:r>
            <w:r w:rsidR="00BA0FC9">
              <w:rPr>
                <w:spacing w:val="-4"/>
                <w:sz w:val="18"/>
                <w:szCs w:val="18"/>
              </w:rPr>
              <w:t xml:space="preserve">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 xml:space="preserve">Broj i </w:t>
            </w:r>
            <w:r>
              <w:rPr>
                <w:spacing w:val="-5"/>
                <w:sz w:val="18"/>
                <w:szCs w:val="18"/>
              </w:rPr>
              <w:br/>
              <w:t>datum</w:t>
            </w:r>
            <w:r>
              <w:rPr>
                <w:spacing w:val="-5"/>
                <w:sz w:val="18"/>
                <w:szCs w:val="18"/>
              </w:rPr>
              <w:br/>
              <w:t>rješenja o</w:t>
            </w:r>
            <w:r>
              <w:rPr>
                <w:spacing w:val="-5"/>
                <w:sz w:val="18"/>
                <w:szCs w:val="18"/>
              </w:rPr>
              <w:br/>
              <w:t xml:space="preserve">imenovanju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Broj i</w:t>
            </w:r>
            <w:r>
              <w:rPr>
                <w:spacing w:val="-4"/>
                <w:sz w:val="18"/>
                <w:szCs w:val="18"/>
              </w:rPr>
              <w:br/>
              <w:t>datum</w:t>
            </w:r>
            <w:r>
              <w:rPr>
                <w:spacing w:val="-4"/>
                <w:sz w:val="18"/>
                <w:szCs w:val="18"/>
              </w:rPr>
              <w:br/>
              <w:t>rješenja o</w:t>
            </w:r>
            <w:r>
              <w:rPr>
                <w:spacing w:val="-4"/>
                <w:sz w:val="18"/>
                <w:szCs w:val="18"/>
              </w:rPr>
              <w:br/>
              <w:t xml:space="preserve">razrješenju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17" w:type="dxa"/>
              <w:bottom w:w="57" w:type="dxa"/>
              <w:right w:w="17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 xml:space="preserve">Primjedba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1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2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3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4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5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6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7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8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9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A0FC9" w:rsidRDefault="00BA0FC9" w:rsidP="00BA0FC9">
      <w:pPr>
        <w:jc w:val="both"/>
        <w:rPr>
          <w:lang w:val="en-GB"/>
        </w:rPr>
      </w:pPr>
      <w:r>
        <w:rPr>
          <w:lang w:val="en-GB"/>
        </w:rPr>
        <w:t> </w:t>
      </w:r>
    </w:p>
    <w:p w:rsidR="00BA0FC9" w:rsidRDefault="00BA0FC9" w:rsidP="00BA0FC9">
      <w:pPr>
        <w:jc w:val="both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noparagraphstyle"/>
      </w:pPr>
    </w:p>
    <w:p w:rsidR="00BA0FC9" w:rsidRDefault="00BA0FC9" w:rsidP="00BA0FC9">
      <w:pPr>
        <w:pStyle w:val="StandardWeb"/>
      </w:pPr>
      <w:r>
        <w:t>Obrazac br. 3</w:t>
      </w:r>
      <w:r>
        <w:br/>
        <w:t xml:space="preserve">(297 × </w:t>
      </w:r>
      <w:smartTag w:uri="urn:schemas-microsoft-com:office:smarttags" w:element="metricconverter">
        <w:smartTagPr>
          <w:attr w:name="ProductID" w:val="210 mm"/>
        </w:smartTagPr>
        <w:r>
          <w:t>210 mm</w:t>
        </w:r>
      </w:smartTag>
      <w:r>
        <w:t>)</w:t>
      </w:r>
      <w:r>
        <w:br/>
      </w:r>
      <w:r>
        <w:br/>
      </w:r>
      <w:r>
        <w:br/>
        <w:t>(naziv i sjedište suda)</w:t>
      </w:r>
      <w:r>
        <w:br/>
        <w:t>POPIS PRAVNIH OSOBA</w:t>
      </w:r>
      <w:r w:rsidR="003A4412">
        <w:t xml:space="preserve"> ZA OBAVLJANJE POSLOVA SUDSKOG PROCJENJIVANJA</w:t>
      </w:r>
      <w:r>
        <w:br/>
        <w:t> </w:t>
      </w:r>
    </w:p>
    <w:tbl>
      <w:tblPr>
        <w:tblpPr w:leftFromText="180" w:rightFromText="180" w:vertAnchor="text" w:tblpY="1"/>
        <w:tblOverlap w:val="never"/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670"/>
        <w:gridCol w:w="1330"/>
        <w:gridCol w:w="900"/>
        <w:gridCol w:w="1080"/>
        <w:gridCol w:w="900"/>
        <w:gridCol w:w="900"/>
        <w:gridCol w:w="900"/>
        <w:gridCol w:w="900"/>
      </w:tblGrid>
      <w:tr w:rsidR="00BA0FC9" w:rsidTr="003A4412">
        <w:trPr>
          <w:trHeight w:val="60"/>
        </w:trPr>
        <w:tc>
          <w:tcPr>
            <w:tcW w:w="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Red. br.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9"/>
                <w:szCs w:val="19"/>
              </w:rPr>
              <w:t>Naziv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BA0FC9" w:rsidRDefault="00BA0FC9" w:rsidP="003A4412">
            <w:pPr>
              <w:pStyle w:val="t-98bezuvl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 xml:space="preserve">Ime i prezime stalnog sudskog </w:t>
            </w:r>
            <w:r w:rsidR="003A4412">
              <w:rPr>
                <w:spacing w:val="-5"/>
                <w:sz w:val="19"/>
                <w:szCs w:val="19"/>
              </w:rPr>
              <w:t>procjenitelja</w:t>
            </w:r>
            <w:r>
              <w:rPr>
                <w:spacing w:val="-5"/>
                <w:sz w:val="19"/>
                <w:szCs w:val="19"/>
              </w:rPr>
              <w:t xml:space="preserve"> zaposlenog u pravnoj osobi 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BA0FC9" w:rsidRPr="00DD1658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 w:rsidRPr="00DD1658">
              <w:rPr>
                <w:spacing w:val="-5"/>
                <w:sz w:val="19"/>
                <w:szCs w:val="19"/>
              </w:rPr>
              <w:t>Adresa</w:t>
            </w:r>
            <w:r w:rsidRPr="00DD1658">
              <w:rPr>
                <w:spacing w:val="-5"/>
                <w:sz w:val="19"/>
                <w:szCs w:val="19"/>
              </w:rPr>
              <w:br/>
              <w:t>i broj</w:t>
            </w:r>
            <w:r w:rsidRPr="00DD1658">
              <w:rPr>
                <w:spacing w:val="-5"/>
                <w:sz w:val="19"/>
                <w:szCs w:val="19"/>
              </w:rPr>
              <w:br/>
              <w:t>telefona</w:t>
            </w:r>
          </w:p>
          <w:p w:rsidR="00BA0FC9" w:rsidRPr="00DD1658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 w:rsidRPr="00DD1658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740551" w:rsidRPr="00DD1658" w:rsidRDefault="00740551" w:rsidP="00740551">
            <w:pPr>
              <w:pStyle w:val="t-98bezuvl"/>
              <w:jc w:val="center"/>
              <w:rPr>
                <w:sz w:val="20"/>
                <w:szCs w:val="20"/>
              </w:rPr>
            </w:pPr>
            <w:r w:rsidRPr="00DD1658">
              <w:rPr>
                <w:spacing w:val="-4"/>
                <w:sz w:val="18"/>
                <w:szCs w:val="18"/>
              </w:rPr>
              <w:t xml:space="preserve">Djelatnost-struka </w:t>
            </w:r>
          </w:p>
          <w:p w:rsidR="00BA0FC9" w:rsidRPr="00DD1658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 w:rsidRPr="00DD1658">
              <w:rPr>
                <w:spacing w:val="-5"/>
                <w:sz w:val="19"/>
                <w:szCs w:val="19"/>
              </w:rPr>
              <w:br/>
            </w:r>
          </w:p>
          <w:p w:rsidR="00BA0FC9" w:rsidRPr="00DD1658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 w:rsidRPr="00DD1658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Rješenja o upisu u sudski registar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Broj </w:t>
            </w:r>
            <w:r>
              <w:rPr>
                <w:sz w:val="19"/>
                <w:szCs w:val="19"/>
              </w:rPr>
              <w:br/>
              <w:t>sudskog</w:t>
            </w:r>
            <w:r>
              <w:rPr>
                <w:sz w:val="19"/>
                <w:szCs w:val="19"/>
              </w:rPr>
              <w:br/>
              <w:t>spisa i</w:t>
            </w:r>
            <w:r>
              <w:rPr>
                <w:sz w:val="19"/>
                <w:szCs w:val="19"/>
              </w:rPr>
              <w:br/>
              <w:t>datum</w:t>
            </w:r>
            <w:r>
              <w:rPr>
                <w:sz w:val="19"/>
                <w:szCs w:val="19"/>
              </w:rPr>
              <w:br/>
              <w:t>upisa u sudski registar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Broj </w:t>
            </w:r>
            <w:r>
              <w:rPr>
                <w:sz w:val="19"/>
                <w:szCs w:val="19"/>
              </w:rPr>
              <w:br/>
              <w:t>sudskog</w:t>
            </w:r>
            <w:r>
              <w:rPr>
                <w:sz w:val="19"/>
                <w:szCs w:val="19"/>
              </w:rPr>
              <w:br/>
              <w:t>spisa i</w:t>
            </w:r>
            <w:r>
              <w:rPr>
                <w:sz w:val="19"/>
                <w:szCs w:val="19"/>
              </w:rPr>
              <w:br/>
              <w:t>datum</w:t>
            </w:r>
            <w:r>
              <w:rPr>
                <w:sz w:val="19"/>
                <w:szCs w:val="19"/>
              </w:rPr>
              <w:br/>
              <w:t>brisanja</w:t>
            </w:r>
          </w:p>
          <w:p w:rsidR="00BA0FC9" w:rsidRDefault="00BA0FC9" w:rsidP="00194DF5">
            <w:pPr>
              <w:pStyle w:val="t-98bezuvl"/>
              <w:spacing w:line="60" w:lineRule="atLeast"/>
              <w:ind w:right="-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9"/>
                <w:szCs w:val="19"/>
              </w:rPr>
              <w:t>Primjedba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3A4412">
        <w:trPr>
          <w:trHeight w:val="60"/>
        </w:trPr>
        <w:tc>
          <w:tcPr>
            <w:tcW w:w="4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A0FC9" w:rsidTr="003A4412">
        <w:trPr>
          <w:trHeight w:val="60"/>
        </w:trPr>
        <w:tc>
          <w:tcPr>
            <w:tcW w:w="4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3A4412">
        <w:trPr>
          <w:trHeight w:val="60"/>
        </w:trPr>
        <w:tc>
          <w:tcPr>
            <w:tcW w:w="4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3A4412">
        <w:trPr>
          <w:trHeight w:val="60"/>
        </w:trPr>
        <w:tc>
          <w:tcPr>
            <w:tcW w:w="4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3A4412">
        <w:trPr>
          <w:trHeight w:val="60"/>
        </w:trPr>
        <w:tc>
          <w:tcPr>
            <w:tcW w:w="4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A0FC9" w:rsidRDefault="00BA0FC9" w:rsidP="00BA0FC9">
      <w:pPr>
        <w:jc w:val="both"/>
      </w:pPr>
      <w:r>
        <w:rPr>
          <w:lang w:val="en-GB"/>
        </w:rPr>
        <w:br w:type="textWrapping" w:clear="all"/>
        <w:t> </w:t>
      </w:r>
    </w:p>
    <w:p w:rsidR="00BA0FC9" w:rsidRDefault="00BA0FC9" w:rsidP="00BA0FC9">
      <w:pPr>
        <w:jc w:val="both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</w:p>
    <w:p w:rsidR="00BA0FC9" w:rsidRDefault="00BA0FC9" w:rsidP="00BA0FC9">
      <w:pPr>
        <w:pStyle w:val="StandardWeb"/>
      </w:pPr>
      <w:r>
        <w:t xml:space="preserve">Obrazac br. 4 </w:t>
      </w:r>
      <w:r>
        <w:br/>
        <w:t>(297 × 210 mm)</w:t>
      </w:r>
      <w:r>
        <w:br/>
      </w:r>
      <w:r>
        <w:br/>
      </w:r>
      <w:r>
        <w:br/>
        <w:t>(Ministarstvo pravosuđa)</w:t>
      </w:r>
    </w:p>
    <w:p w:rsidR="00BA0FC9" w:rsidRDefault="00BA0FC9" w:rsidP="00BA0FC9">
      <w:pPr>
        <w:pStyle w:val="StandardWeb"/>
      </w:pPr>
      <w:r>
        <w:t xml:space="preserve">POPIS STALNIH SUDSKIH </w:t>
      </w:r>
      <w:r w:rsidR="003A4412">
        <w:t>PROCJENITELJA</w:t>
      </w:r>
      <w:r>
        <w:t> IZ DRŽAVA ČLANICA EUROPSKE UNIJE ILI DRŽAVA POTPISNICA SPORAZUMA O EUROPSKOM GOSPODARSKOM PROSTORU</w:t>
      </w:r>
    </w:p>
    <w:p w:rsidR="00BA0FC9" w:rsidRDefault="00BA0FC9" w:rsidP="00BA0FC9">
      <w:pPr>
        <w:pStyle w:val="StandardWeb"/>
      </w:pPr>
    </w:p>
    <w:tbl>
      <w:tblPr>
        <w:tblW w:w="9363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744"/>
        <w:gridCol w:w="1236"/>
        <w:gridCol w:w="720"/>
        <w:gridCol w:w="900"/>
        <w:gridCol w:w="720"/>
        <w:gridCol w:w="1056"/>
        <w:gridCol w:w="1284"/>
        <w:gridCol w:w="1260"/>
        <w:gridCol w:w="900"/>
      </w:tblGrid>
      <w:tr w:rsidR="00BA0FC9" w:rsidTr="00194DF5">
        <w:trPr>
          <w:trHeight w:val="60"/>
        </w:trPr>
        <w:tc>
          <w:tcPr>
            <w:tcW w:w="5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Red. br.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Prezime i ime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BA0FC9" w:rsidRDefault="00BA0FC9" w:rsidP="00194DF5">
            <w:pPr>
              <w:pStyle w:val="t-98bezuvl"/>
              <w:jc w:val="center"/>
              <w:rPr>
                <w:spacing w:val="-4"/>
                <w:sz w:val="18"/>
                <w:szCs w:val="18"/>
              </w:rPr>
            </w:pPr>
          </w:p>
          <w:p w:rsidR="00BA0FC9" w:rsidRDefault="00BA0FC9" w:rsidP="00194DF5">
            <w:pPr>
              <w:pStyle w:val="t-98bezuvl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Državljanstvo </w:t>
            </w:r>
          </w:p>
        </w:tc>
        <w:tc>
          <w:tcPr>
            <w:tcW w:w="7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Adresa, broj </w:t>
            </w:r>
            <w:r>
              <w:rPr>
                <w:spacing w:val="-4"/>
                <w:sz w:val="18"/>
                <w:szCs w:val="18"/>
              </w:rPr>
              <w:br/>
              <w:t>telefona i e-mail adresa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 w:rsidRPr="00740551">
              <w:rPr>
                <w:spacing w:val="-4"/>
                <w:sz w:val="18"/>
                <w:szCs w:val="18"/>
              </w:rPr>
              <w:t>Zanimanj</w:t>
            </w:r>
            <w:r>
              <w:rPr>
                <w:spacing w:val="-4"/>
                <w:sz w:val="18"/>
                <w:szCs w:val="18"/>
              </w:rPr>
              <w:t xml:space="preserve">e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 xml:space="preserve">Stručna </w:t>
            </w:r>
            <w:r>
              <w:rPr>
                <w:spacing w:val="-4"/>
                <w:sz w:val="18"/>
                <w:szCs w:val="18"/>
              </w:rPr>
              <w:br/>
              <w:t xml:space="preserve">sprema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740551" w:rsidRDefault="00740551" w:rsidP="00740551">
            <w:pPr>
              <w:pStyle w:val="t-98bezuvl"/>
              <w:jc w:val="center"/>
              <w:rPr>
                <w:sz w:val="20"/>
                <w:szCs w:val="20"/>
              </w:rPr>
            </w:pPr>
            <w:r w:rsidRPr="00DD1658">
              <w:rPr>
                <w:spacing w:val="-4"/>
                <w:sz w:val="18"/>
                <w:szCs w:val="18"/>
              </w:rPr>
              <w:t>Djelatnost-struka</w:t>
            </w:r>
            <w:r>
              <w:rPr>
                <w:spacing w:val="-4"/>
                <w:sz w:val="18"/>
                <w:szCs w:val="18"/>
              </w:rPr>
              <w:t xml:space="preserve">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 xml:space="preserve">Broj i </w:t>
            </w:r>
            <w:r>
              <w:rPr>
                <w:spacing w:val="-5"/>
                <w:sz w:val="18"/>
                <w:szCs w:val="18"/>
              </w:rPr>
              <w:br/>
              <w:t>datum</w:t>
            </w:r>
            <w:r>
              <w:rPr>
                <w:spacing w:val="-5"/>
                <w:sz w:val="18"/>
                <w:szCs w:val="18"/>
              </w:rPr>
              <w:br/>
              <w:t>odluke o</w:t>
            </w:r>
            <w:r>
              <w:rPr>
                <w:spacing w:val="-5"/>
                <w:sz w:val="18"/>
                <w:szCs w:val="18"/>
              </w:rPr>
              <w:br/>
              <w:t xml:space="preserve">imenovanju u matičnoj državi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28" w:type="dxa"/>
              <w:bottom w:w="57" w:type="dxa"/>
              <w:right w:w="28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Broj i</w:t>
            </w:r>
            <w:r>
              <w:rPr>
                <w:spacing w:val="-4"/>
                <w:sz w:val="18"/>
                <w:szCs w:val="18"/>
              </w:rPr>
              <w:br/>
              <w:t>datum</w:t>
            </w:r>
            <w:r>
              <w:rPr>
                <w:spacing w:val="-4"/>
                <w:sz w:val="18"/>
                <w:szCs w:val="18"/>
              </w:rPr>
              <w:br/>
              <w:t>rješenja o</w:t>
            </w:r>
            <w:r>
              <w:rPr>
                <w:spacing w:val="-4"/>
                <w:sz w:val="18"/>
                <w:szCs w:val="18"/>
              </w:rPr>
              <w:br/>
              <w:t xml:space="preserve">upisu u Popis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17" w:type="dxa"/>
              <w:bottom w:w="57" w:type="dxa"/>
              <w:right w:w="17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 xml:space="preserve">Primjedba 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1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2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3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4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5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6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7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8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:rsidR="00BA0FC9" w:rsidRDefault="00BA0FC9" w:rsidP="00194DF5">
            <w:pPr>
              <w:pStyle w:val="t-98bezuvl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9</w:t>
            </w:r>
          </w:p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pacing w:val="-4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pacing w:val="-4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pacing w:val="-4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0FC9" w:rsidTr="00194DF5">
        <w:trPr>
          <w:trHeight w:val="60"/>
        </w:trPr>
        <w:tc>
          <w:tcPr>
            <w:tcW w:w="543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pacing w:val="-4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</w:tcPr>
          <w:p w:rsidR="00BA0FC9" w:rsidRDefault="00BA0FC9" w:rsidP="00194DF5">
            <w:pPr>
              <w:pStyle w:val="t-98bezuvl"/>
              <w:rPr>
                <w:sz w:val="20"/>
                <w:szCs w:val="20"/>
              </w:rPr>
            </w:pPr>
            <w:r>
              <w:rPr>
                <w:spacing w:val="-4"/>
                <w:sz w:val="18"/>
                <w:szCs w:val="18"/>
              </w:rPr>
              <w:t> </w:t>
            </w:r>
          </w:p>
          <w:p w:rsidR="00BA0FC9" w:rsidRDefault="00BA0FC9" w:rsidP="00194DF5">
            <w:pPr>
              <w:pStyle w:val="t-98bezuvl"/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p w:rsidR="00BA0FC9" w:rsidRDefault="00BA0FC9" w:rsidP="00BA0FC9">
      <w:pPr>
        <w:jc w:val="both"/>
      </w:pPr>
    </w:p>
    <w:sectPr w:rsidR="00BA0FC9" w:rsidSect="003E0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54C10"/>
    <w:multiLevelType w:val="hybridMultilevel"/>
    <w:tmpl w:val="C8502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0D02"/>
    <w:multiLevelType w:val="hybridMultilevel"/>
    <w:tmpl w:val="37C4CBF4"/>
    <w:lvl w:ilvl="0" w:tplc="1564D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C9"/>
    <w:rsid w:val="00041A47"/>
    <w:rsid w:val="00141DC2"/>
    <w:rsid w:val="00194DF5"/>
    <w:rsid w:val="00244018"/>
    <w:rsid w:val="003A4412"/>
    <w:rsid w:val="003E088D"/>
    <w:rsid w:val="00404C3F"/>
    <w:rsid w:val="00655473"/>
    <w:rsid w:val="006F15CC"/>
    <w:rsid w:val="0072553A"/>
    <w:rsid w:val="00740551"/>
    <w:rsid w:val="00904432"/>
    <w:rsid w:val="00991170"/>
    <w:rsid w:val="009A229C"/>
    <w:rsid w:val="00AC56FB"/>
    <w:rsid w:val="00B31C0D"/>
    <w:rsid w:val="00BA0FC9"/>
    <w:rsid w:val="00CD34B5"/>
    <w:rsid w:val="00D43CEF"/>
    <w:rsid w:val="00DD1658"/>
    <w:rsid w:val="00E14136"/>
    <w:rsid w:val="00F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BA0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BA0F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BA0F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0FC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rsid w:val="00BA0FC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rsid w:val="00BA0FC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rsid w:val="00BA0FC9"/>
    <w:pPr>
      <w:spacing w:before="100" w:beforeAutospacing="1" w:after="100" w:afterAutospacing="1"/>
    </w:pPr>
  </w:style>
  <w:style w:type="paragraph" w:customStyle="1" w:styleId="t-98bezuvl">
    <w:name w:val="t-98bezuvl"/>
    <w:basedOn w:val="Normal"/>
    <w:rsid w:val="00BA0FC9"/>
    <w:pPr>
      <w:spacing w:before="100" w:beforeAutospacing="1" w:after="100" w:afterAutospacing="1"/>
    </w:pPr>
  </w:style>
  <w:style w:type="paragraph" w:customStyle="1" w:styleId="noparagraphstyle">
    <w:name w:val="noparagraphstyle"/>
    <w:basedOn w:val="Normal"/>
    <w:rsid w:val="00BA0FC9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BA0FC9"/>
    <w:pPr>
      <w:spacing w:before="100" w:beforeAutospacing="1" w:after="100" w:afterAutospacing="1"/>
    </w:pPr>
  </w:style>
  <w:style w:type="character" w:styleId="Referencakomentara">
    <w:name w:val="annotation reference"/>
    <w:uiPriority w:val="99"/>
    <w:semiHidden/>
    <w:unhideWhenUsed/>
    <w:rsid w:val="00BA0F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0F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A0FC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F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0FC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F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FC9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BA0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BA0F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BA0F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0FC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rsid w:val="00BA0FC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rsid w:val="00BA0FC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rsid w:val="00BA0FC9"/>
    <w:pPr>
      <w:spacing w:before="100" w:beforeAutospacing="1" w:after="100" w:afterAutospacing="1"/>
    </w:pPr>
  </w:style>
  <w:style w:type="paragraph" w:customStyle="1" w:styleId="t-98bezuvl">
    <w:name w:val="t-98bezuvl"/>
    <w:basedOn w:val="Normal"/>
    <w:rsid w:val="00BA0FC9"/>
    <w:pPr>
      <w:spacing w:before="100" w:beforeAutospacing="1" w:after="100" w:afterAutospacing="1"/>
    </w:pPr>
  </w:style>
  <w:style w:type="paragraph" w:customStyle="1" w:styleId="noparagraphstyle">
    <w:name w:val="noparagraphstyle"/>
    <w:basedOn w:val="Normal"/>
    <w:rsid w:val="00BA0FC9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BA0FC9"/>
    <w:pPr>
      <w:spacing w:before="100" w:beforeAutospacing="1" w:after="100" w:afterAutospacing="1"/>
    </w:pPr>
  </w:style>
  <w:style w:type="character" w:styleId="Referencakomentara">
    <w:name w:val="annotation reference"/>
    <w:uiPriority w:val="99"/>
    <w:semiHidden/>
    <w:unhideWhenUsed/>
    <w:rsid w:val="00BA0F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0F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A0FC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F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0FC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F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FC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Milić</dc:creator>
  <cp:lastModifiedBy>wsadmin</cp:lastModifiedBy>
  <cp:revision>2</cp:revision>
  <dcterms:created xsi:type="dcterms:W3CDTF">2014-08-08T11:59:00Z</dcterms:created>
  <dcterms:modified xsi:type="dcterms:W3CDTF">2014-08-08T11:59:00Z</dcterms:modified>
</cp:coreProperties>
</file>