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rednjesjenanje1-Isticanje1"/>
        <w:tblW w:w="1485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14850"/>
      </w:tblGrid>
      <w:tr w:rsidR="00780B71" w:rsidRPr="000C6236" w:rsidTr="00D913AA">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4850" w:type="dxa"/>
            <w:tcBorders>
              <w:bottom w:val="single" w:sz="8" w:space="0" w:color="365F91" w:themeColor="accent1" w:themeShade="BF"/>
            </w:tcBorders>
            <w:shd w:val="clear" w:color="auto" w:fill="95B3D7" w:themeFill="accent1" w:themeFillTint="99"/>
            <w:vAlign w:val="center"/>
          </w:tcPr>
          <w:p w:rsidR="003F3E97" w:rsidRPr="000C6236" w:rsidRDefault="003F3E97" w:rsidP="00750DEC">
            <w:pPr>
              <w:jc w:val="center"/>
              <w:rPr>
                <w:color w:val="auto"/>
                <w:sz w:val="24"/>
                <w:szCs w:val="24"/>
              </w:rPr>
            </w:pPr>
            <w:r w:rsidRPr="000C6236">
              <w:rPr>
                <w:color w:val="auto"/>
                <w:sz w:val="24"/>
                <w:szCs w:val="24"/>
              </w:rPr>
              <w:t>SAVJETOVANJE SA ZAINTERESIRANOM JAVNOŠĆU</w:t>
            </w:r>
          </w:p>
        </w:tc>
      </w:tr>
      <w:tr w:rsidR="003F3E97" w:rsidRPr="000C6236" w:rsidTr="00D913AA">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4850" w:type="dxa"/>
            <w:shd w:val="clear" w:color="auto" w:fill="auto"/>
            <w:vAlign w:val="center"/>
          </w:tcPr>
          <w:p w:rsidR="003F3E97" w:rsidRPr="000C6236" w:rsidRDefault="00750DEC" w:rsidP="00421419">
            <w:pPr>
              <w:jc w:val="center"/>
              <w:rPr>
                <w:i/>
                <w:sz w:val="24"/>
                <w:szCs w:val="24"/>
              </w:rPr>
            </w:pPr>
            <w:r w:rsidRPr="000C6236">
              <w:rPr>
                <w:i/>
                <w:sz w:val="24"/>
                <w:szCs w:val="24"/>
              </w:rPr>
              <w:t xml:space="preserve">Nacrt </w:t>
            </w:r>
            <w:r w:rsidR="00356145">
              <w:rPr>
                <w:i/>
                <w:sz w:val="24"/>
                <w:szCs w:val="24"/>
              </w:rPr>
              <w:t>Izmjena i dopuna</w:t>
            </w:r>
            <w:r w:rsidR="00421419">
              <w:rPr>
                <w:i/>
                <w:sz w:val="24"/>
                <w:szCs w:val="24"/>
              </w:rPr>
              <w:t xml:space="preserve"> </w:t>
            </w:r>
            <w:bookmarkStart w:id="0" w:name="_GoBack"/>
            <w:bookmarkEnd w:id="0"/>
            <w:r w:rsidR="00356145">
              <w:rPr>
                <w:i/>
                <w:sz w:val="24"/>
                <w:szCs w:val="24"/>
              </w:rPr>
              <w:t>Sudskog poslovnika</w:t>
            </w:r>
          </w:p>
        </w:tc>
      </w:tr>
      <w:tr w:rsidR="003F3E97" w:rsidRPr="000C6236" w:rsidTr="00D913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0" w:type="dxa"/>
            <w:vAlign w:val="center"/>
          </w:tcPr>
          <w:p w:rsidR="003F3E97" w:rsidRPr="009D3662" w:rsidRDefault="003F3E97" w:rsidP="00421419">
            <w:pPr>
              <w:jc w:val="both"/>
              <w:rPr>
                <w:b w:val="0"/>
              </w:rPr>
            </w:pPr>
            <w:r w:rsidRPr="009D3662">
              <w:rPr>
                <w:b w:val="0"/>
              </w:rPr>
              <w:t xml:space="preserve">Ministarstvo pravosuđa objavljuje objedinjene primjedbe </w:t>
            </w:r>
            <w:r w:rsidR="000A716F">
              <w:rPr>
                <w:b w:val="0"/>
              </w:rPr>
              <w:t xml:space="preserve">i prijedloge </w:t>
            </w:r>
            <w:r w:rsidR="000A716F" w:rsidRPr="009D3662">
              <w:rPr>
                <w:b w:val="0"/>
              </w:rPr>
              <w:t xml:space="preserve">na Nacrt </w:t>
            </w:r>
            <w:r w:rsidR="00356145">
              <w:rPr>
                <w:b w:val="0"/>
              </w:rPr>
              <w:t>Izmjena i dopuna Sudskog poslovnika</w:t>
            </w:r>
            <w:r w:rsidR="000A716F" w:rsidRPr="009D3662">
              <w:rPr>
                <w:b w:val="0"/>
              </w:rPr>
              <w:t xml:space="preserve"> </w:t>
            </w:r>
            <w:r w:rsidRPr="009D3662">
              <w:rPr>
                <w:b w:val="0"/>
              </w:rPr>
              <w:t>zaprimljene od strane predstavnika zainteres</w:t>
            </w:r>
            <w:r w:rsidR="00E82320">
              <w:rPr>
                <w:b w:val="0"/>
              </w:rPr>
              <w:t xml:space="preserve">irane javnosti dostavljene </w:t>
            </w:r>
            <w:r w:rsidRPr="009D3662">
              <w:rPr>
                <w:b w:val="0"/>
              </w:rPr>
              <w:t xml:space="preserve">putem održanog internetskog javnog savjetovanja provedenog u razdoblju od </w:t>
            </w:r>
            <w:r w:rsidR="00356145">
              <w:rPr>
                <w:b w:val="0"/>
              </w:rPr>
              <w:t>2</w:t>
            </w:r>
            <w:r w:rsidR="00421419">
              <w:rPr>
                <w:b w:val="0"/>
              </w:rPr>
              <w:t>0</w:t>
            </w:r>
            <w:r w:rsidR="00356145">
              <w:rPr>
                <w:b w:val="0"/>
              </w:rPr>
              <w:t>. veljače</w:t>
            </w:r>
            <w:r w:rsidR="006E0F6F" w:rsidRPr="009D3662">
              <w:rPr>
                <w:b w:val="0"/>
              </w:rPr>
              <w:t xml:space="preserve"> do </w:t>
            </w:r>
            <w:r w:rsidR="00356145">
              <w:rPr>
                <w:b w:val="0"/>
              </w:rPr>
              <w:t>7.ožujka</w:t>
            </w:r>
            <w:r w:rsidR="00C6769A" w:rsidRPr="009D3662">
              <w:rPr>
                <w:b w:val="0"/>
              </w:rPr>
              <w:t xml:space="preserve"> </w:t>
            </w:r>
            <w:r w:rsidR="00750DEC" w:rsidRPr="009D3662">
              <w:rPr>
                <w:b w:val="0"/>
              </w:rPr>
              <w:t>201</w:t>
            </w:r>
            <w:r w:rsidR="00212656" w:rsidRPr="009D3662">
              <w:rPr>
                <w:b w:val="0"/>
              </w:rPr>
              <w:t>5</w:t>
            </w:r>
            <w:r w:rsidR="00750DEC" w:rsidRPr="009D3662">
              <w:rPr>
                <w:b w:val="0"/>
              </w:rPr>
              <w:t xml:space="preserve">. godine </w:t>
            </w:r>
            <w:r w:rsidRPr="009D3662">
              <w:rPr>
                <w:b w:val="0"/>
              </w:rPr>
              <w:t xml:space="preserve"> te očitovanja o p</w:t>
            </w:r>
            <w:r w:rsidR="00667E9F" w:rsidRPr="009D3662">
              <w:rPr>
                <w:b w:val="0"/>
              </w:rPr>
              <w:t>rihvaćanju/neprihvaćanju istih.</w:t>
            </w:r>
          </w:p>
        </w:tc>
      </w:tr>
    </w:tbl>
    <w:p w:rsidR="007C0F3F" w:rsidRDefault="007C0F3F"/>
    <w:tbl>
      <w:tblPr>
        <w:tblStyle w:val="Reetkatablice"/>
        <w:tblW w:w="5000"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848"/>
        <w:gridCol w:w="2508"/>
        <w:gridCol w:w="2212"/>
        <w:gridCol w:w="4421"/>
        <w:gridCol w:w="4797"/>
      </w:tblGrid>
      <w:tr w:rsidR="00515C59" w:rsidRPr="000C6236" w:rsidTr="000D46B5">
        <w:tc>
          <w:tcPr>
            <w:tcW w:w="287" w:type="pct"/>
            <w:shd w:val="clear" w:color="auto" w:fill="DBE5F1" w:themeFill="accent1" w:themeFillTint="33"/>
            <w:vAlign w:val="center"/>
          </w:tcPr>
          <w:p w:rsidR="003F3E97" w:rsidRPr="00BF2146" w:rsidRDefault="003F3E97" w:rsidP="00D85FEF">
            <w:pPr>
              <w:jc w:val="center"/>
              <w:rPr>
                <w:rFonts w:cstheme="minorHAnsi"/>
                <w:b/>
              </w:rPr>
            </w:pPr>
            <w:r w:rsidRPr="00BF2146">
              <w:rPr>
                <w:rFonts w:cstheme="minorHAnsi"/>
                <w:b/>
              </w:rPr>
              <w:t>Redni broj</w:t>
            </w:r>
          </w:p>
        </w:tc>
        <w:tc>
          <w:tcPr>
            <w:tcW w:w="848" w:type="pct"/>
            <w:shd w:val="clear" w:color="auto" w:fill="DBE5F1" w:themeFill="accent1" w:themeFillTint="33"/>
            <w:vAlign w:val="center"/>
          </w:tcPr>
          <w:p w:rsidR="003F3E97" w:rsidRPr="00BF2146" w:rsidRDefault="003F3E97" w:rsidP="00D85FEF">
            <w:pPr>
              <w:jc w:val="center"/>
              <w:rPr>
                <w:rFonts w:cstheme="minorHAnsi"/>
                <w:b/>
              </w:rPr>
            </w:pPr>
            <w:r w:rsidRPr="00BF2146">
              <w:rPr>
                <w:rFonts w:cstheme="minorHAnsi"/>
                <w:b/>
              </w:rPr>
              <w:t>Naziv dionika (pojedinac, organizacija, institucija)</w:t>
            </w:r>
          </w:p>
        </w:tc>
        <w:tc>
          <w:tcPr>
            <w:tcW w:w="748" w:type="pct"/>
            <w:shd w:val="clear" w:color="auto" w:fill="DBE5F1" w:themeFill="accent1" w:themeFillTint="33"/>
            <w:vAlign w:val="center"/>
          </w:tcPr>
          <w:p w:rsidR="003F3E97" w:rsidRPr="00BF2146" w:rsidRDefault="003F3E97" w:rsidP="00BB2F6E">
            <w:pPr>
              <w:jc w:val="center"/>
              <w:rPr>
                <w:rFonts w:cstheme="minorHAnsi"/>
                <w:b/>
              </w:rPr>
            </w:pPr>
            <w:r w:rsidRPr="00BF2146">
              <w:rPr>
                <w:rFonts w:cstheme="minorHAnsi"/>
                <w:b/>
              </w:rPr>
              <w:t>Članak na koji se odnosi primjedba/prijedlog</w:t>
            </w:r>
          </w:p>
        </w:tc>
        <w:tc>
          <w:tcPr>
            <w:tcW w:w="1495" w:type="pct"/>
            <w:shd w:val="clear" w:color="auto" w:fill="DBE5F1" w:themeFill="accent1" w:themeFillTint="33"/>
            <w:vAlign w:val="center"/>
          </w:tcPr>
          <w:p w:rsidR="003F3E97" w:rsidRPr="00BF2146" w:rsidRDefault="003F3E97" w:rsidP="00D85FEF">
            <w:pPr>
              <w:jc w:val="center"/>
              <w:rPr>
                <w:rFonts w:cstheme="minorHAnsi"/>
                <w:b/>
              </w:rPr>
            </w:pPr>
            <w:r w:rsidRPr="00BF2146">
              <w:rPr>
                <w:rFonts w:cstheme="minorHAnsi"/>
                <w:b/>
              </w:rPr>
              <w:t>Tekst primjedbe/prijedloga</w:t>
            </w:r>
          </w:p>
        </w:tc>
        <w:tc>
          <w:tcPr>
            <w:tcW w:w="1622" w:type="pct"/>
            <w:shd w:val="clear" w:color="auto" w:fill="DBE5F1" w:themeFill="accent1" w:themeFillTint="33"/>
            <w:vAlign w:val="center"/>
          </w:tcPr>
          <w:p w:rsidR="003F3E97" w:rsidRPr="00BF2146" w:rsidRDefault="003F3E97" w:rsidP="00D85FEF">
            <w:pPr>
              <w:jc w:val="center"/>
              <w:rPr>
                <w:rFonts w:cstheme="minorHAnsi"/>
                <w:b/>
              </w:rPr>
            </w:pPr>
            <w:r w:rsidRPr="00BF2146">
              <w:rPr>
                <w:rFonts w:cstheme="minorHAnsi"/>
                <w:b/>
              </w:rPr>
              <w:t>Razlog prihvaćanja/neprihvaćanja prijedloga ili primjedbe</w:t>
            </w:r>
          </w:p>
        </w:tc>
      </w:tr>
      <w:tr w:rsidR="006E0F6F" w:rsidRPr="000C6236" w:rsidTr="000D46B5">
        <w:trPr>
          <w:trHeight w:val="1308"/>
        </w:trPr>
        <w:tc>
          <w:tcPr>
            <w:tcW w:w="287" w:type="pct"/>
            <w:vMerge w:val="restart"/>
            <w:vAlign w:val="center"/>
          </w:tcPr>
          <w:p w:rsidR="006E0F6F" w:rsidRPr="006C44B6" w:rsidRDefault="006E0F6F" w:rsidP="00BB2F6E">
            <w:pPr>
              <w:jc w:val="center"/>
              <w:rPr>
                <w:rFonts w:cstheme="minorHAnsi"/>
                <w:b/>
              </w:rPr>
            </w:pPr>
            <w:r w:rsidRPr="006C44B6">
              <w:rPr>
                <w:rFonts w:cstheme="minorHAnsi"/>
                <w:b/>
              </w:rPr>
              <w:t>1.</w:t>
            </w:r>
          </w:p>
        </w:tc>
        <w:tc>
          <w:tcPr>
            <w:tcW w:w="848" w:type="pct"/>
            <w:vMerge w:val="restart"/>
            <w:vAlign w:val="center"/>
          </w:tcPr>
          <w:p w:rsidR="006E0F6F" w:rsidRPr="006C44B6" w:rsidRDefault="003E0060" w:rsidP="002162D3">
            <w:pPr>
              <w:jc w:val="center"/>
              <w:rPr>
                <w:rFonts w:cstheme="minorHAnsi"/>
                <w:b/>
              </w:rPr>
            </w:pPr>
            <w:r>
              <w:rPr>
                <w:rFonts w:cstheme="minorHAnsi"/>
                <w:b/>
              </w:rPr>
              <w:t>VISOKI PREKRŠAJNI SUD REPUBLIKE HRVATSKE</w:t>
            </w:r>
          </w:p>
        </w:tc>
        <w:tc>
          <w:tcPr>
            <w:tcW w:w="748" w:type="pct"/>
            <w:vAlign w:val="center"/>
          </w:tcPr>
          <w:p w:rsidR="00851FE7" w:rsidRPr="000C6236" w:rsidRDefault="008F381D" w:rsidP="00356145">
            <w:pPr>
              <w:jc w:val="center"/>
              <w:rPr>
                <w:rFonts w:cstheme="minorHAnsi"/>
              </w:rPr>
            </w:pPr>
            <w:r>
              <w:rPr>
                <w:rFonts w:cstheme="minorHAnsi"/>
              </w:rPr>
              <w:t xml:space="preserve">Članak 13. Nacrta </w:t>
            </w:r>
          </w:p>
        </w:tc>
        <w:tc>
          <w:tcPr>
            <w:tcW w:w="1495" w:type="pct"/>
            <w:vAlign w:val="center"/>
          </w:tcPr>
          <w:p w:rsidR="006E0F6F" w:rsidRDefault="008F381D" w:rsidP="007F2778">
            <w:pPr>
              <w:jc w:val="both"/>
              <w:rPr>
                <w:rFonts w:cstheme="minorHAnsi"/>
              </w:rPr>
            </w:pPr>
            <w:r>
              <w:rPr>
                <w:rFonts w:cstheme="minorHAnsi"/>
              </w:rPr>
              <w:t>Predlaže se dodavanje novog stavka 6. kojim bi se propisala obveza predsjednika suda odnosno predsjednika odjela da sukladno pravilima iz stavka 5. ovog članka bez odgode odrede suce koji će postupati u predmetima kada dođu na red za dodjelu u rad u slučaju kad se zbog većih zaostataka u radu ili veće radne opterećenosti sudaca predmeti ne dodjeljuju u rad sucima odmah.</w:t>
            </w:r>
          </w:p>
          <w:p w:rsidR="007E1993" w:rsidRPr="000C6236" w:rsidRDefault="007E1993" w:rsidP="007F2778">
            <w:pPr>
              <w:jc w:val="both"/>
              <w:rPr>
                <w:rFonts w:cstheme="minorHAnsi"/>
              </w:rPr>
            </w:pPr>
          </w:p>
        </w:tc>
        <w:tc>
          <w:tcPr>
            <w:tcW w:w="1622" w:type="pct"/>
          </w:tcPr>
          <w:p w:rsidR="006E0F6F" w:rsidRDefault="006E0F6F" w:rsidP="00952232">
            <w:pPr>
              <w:jc w:val="both"/>
              <w:rPr>
                <w:rFonts w:cstheme="minorHAnsi"/>
                <w:b/>
              </w:rPr>
            </w:pPr>
            <w:r w:rsidRPr="00B25A7F">
              <w:rPr>
                <w:rFonts w:cstheme="minorHAnsi"/>
                <w:b/>
              </w:rPr>
              <w:t>Prijedlog se ne prihvaća</w:t>
            </w:r>
            <w:r w:rsidR="00B718B2" w:rsidRPr="00B25A7F">
              <w:rPr>
                <w:rFonts w:cstheme="minorHAnsi"/>
                <w:b/>
              </w:rPr>
              <w:t>.</w:t>
            </w:r>
            <w:r w:rsidR="008F381D">
              <w:rPr>
                <w:rFonts w:cstheme="minorHAnsi"/>
                <w:b/>
              </w:rPr>
              <w:t xml:space="preserve"> Naime, </w:t>
            </w:r>
            <w:r w:rsidR="008E1794">
              <w:rPr>
                <w:rFonts w:cstheme="minorHAnsi"/>
                <w:b/>
              </w:rPr>
              <w:t>Sudskim poslovnikom nije propisano da se dodjela predmeta u rad vrši s odgodom, već se predmeti u rad sucima i</w:t>
            </w:r>
            <w:r w:rsidR="008F381D">
              <w:rPr>
                <w:rFonts w:cstheme="minorHAnsi"/>
                <w:b/>
              </w:rPr>
              <w:t xml:space="preserve">li sudskim savjetnicima </w:t>
            </w:r>
            <w:r w:rsidR="008E1794">
              <w:rPr>
                <w:rFonts w:cstheme="minorHAnsi"/>
                <w:b/>
              </w:rPr>
              <w:t xml:space="preserve">dodjeljuju odmah po zaprimanju </w:t>
            </w:r>
            <w:r w:rsidR="008F381D">
              <w:rPr>
                <w:rFonts w:cstheme="minorHAnsi"/>
                <w:b/>
              </w:rPr>
              <w:t xml:space="preserve">u </w:t>
            </w:r>
            <w:r w:rsidR="008E1794">
              <w:rPr>
                <w:rFonts w:cstheme="minorHAnsi"/>
                <w:b/>
              </w:rPr>
              <w:t>sud pa se slijedom toga ukazuje na odredbe članka 104. i 110. Sudskog poslovnika.</w:t>
            </w:r>
          </w:p>
          <w:p w:rsidR="00B718B2" w:rsidRPr="00B25A7F" w:rsidRDefault="00B718B2" w:rsidP="00E62051">
            <w:pPr>
              <w:jc w:val="both"/>
            </w:pPr>
          </w:p>
        </w:tc>
      </w:tr>
      <w:tr w:rsidR="006E0F6F" w:rsidRPr="000C6236" w:rsidTr="000D46B5">
        <w:trPr>
          <w:trHeight w:val="1305"/>
        </w:trPr>
        <w:tc>
          <w:tcPr>
            <w:tcW w:w="287" w:type="pct"/>
            <w:vMerge/>
            <w:vAlign w:val="center"/>
          </w:tcPr>
          <w:p w:rsidR="006E0F6F" w:rsidRPr="000C6236" w:rsidRDefault="006E0F6F" w:rsidP="00501A82">
            <w:pPr>
              <w:rPr>
                <w:rFonts w:cstheme="minorHAnsi"/>
              </w:rPr>
            </w:pPr>
          </w:p>
        </w:tc>
        <w:tc>
          <w:tcPr>
            <w:tcW w:w="848" w:type="pct"/>
            <w:vMerge/>
            <w:vAlign w:val="center"/>
          </w:tcPr>
          <w:p w:rsidR="006E0F6F" w:rsidRDefault="006E0F6F" w:rsidP="00501A82">
            <w:pPr>
              <w:rPr>
                <w:rFonts w:cstheme="minorHAnsi"/>
              </w:rPr>
            </w:pPr>
          </w:p>
        </w:tc>
        <w:tc>
          <w:tcPr>
            <w:tcW w:w="748" w:type="pct"/>
            <w:vAlign w:val="center"/>
          </w:tcPr>
          <w:p w:rsidR="00851FE7" w:rsidRPr="000C6236" w:rsidRDefault="00E82320" w:rsidP="00E82320">
            <w:pPr>
              <w:jc w:val="center"/>
              <w:rPr>
                <w:rFonts w:cstheme="minorHAnsi"/>
              </w:rPr>
            </w:pPr>
            <w:r>
              <w:rPr>
                <w:rFonts w:cstheme="minorHAnsi"/>
              </w:rPr>
              <w:t>Članak</w:t>
            </w:r>
            <w:r w:rsidR="00B718B2">
              <w:rPr>
                <w:rFonts w:cstheme="minorHAnsi"/>
              </w:rPr>
              <w:t xml:space="preserve"> </w:t>
            </w:r>
            <w:r w:rsidR="003266EF">
              <w:rPr>
                <w:rFonts w:cstheme="minorHAnsi"/>
              </w:rPr>
              <w:t>24. Nacrta</w:t>
            </w:r>
          </w:p>
        </w:tc>
        <w:tc>
          <w:tcPr>
            <w:tcW w:w="1495" w:type="pct"/>
            <w:vAlign w:val="center"/>
          </w:tcPr>
          <w:p w:rsidR="0006012A" w:rsidRDefault="00A43B00" w:rsidP="003E0060">
            <w:pPr>
              <w:jc w:val="both"/>
              <w:rPr>
                <w:rFonts w:cstheme="minorHAnsi"/>
              </w:rPr>
            </w:pPr>
            <w:r>
              <w:rPr>
                <w:rFonts w:cstheme="minorHAnsi"/>
              </w:rPr>
              <w:t>Predlaže se brisanje riječi „u kojima zastara nastupa u roku od 6 mjeseci“</w:t>
            </w:r>
            <w:r w:rsidR="003E0060">
              <w:rPr>
                <w:rFonts w:cstheme="minorHAnsi"/>
              </w:rPr>
              <w:t xml:space="preserve"> jer bi predložena odredba u praksi značila da se moraju rješavati uvjetno rečeno predmeti manje važnosti dok bi značajni predmeti padali u zastaru, a koja posljedica s obzirom na značenje i težinu takvih predmeta nije društveno niti pravno prihvatljiva.</w:t>
            </w:r>
          </w:p>
          <w:p w:rsidR="007E1993" w:rsidRPr="000C6236" w:rsidRDefault="007E1993" w:rsidP="003E0060">
            <w:pPr>
              <w:jc w:val="both"/>
              <w:rPr>
                <w:rFonts w:cstheme="minorHAnsi"/>
              </w:rPr>
            </w:pPr>
          </w:p>
        </w:tc>
        <w:tc>
          <w:tcPr>
            <w:tcW w:w="1622" w:type="pct"/>
          </w:tcPr>
          <w:p w:rsidR="0006012A" w:rsidRDefault="00B718B2" w:rsidP="00952232">
            <w:pPr>
              <w:jc w:val="both"/>
              <w:rPr>
                <w:rFonts w:cstheme="minorHAnsi"/>
              </w:rPr>
            </w:pPr>
            <w:r w:rsidRPr="00B718B2">
              <w:rPr>
                <w:rFonts w:cstheme="minorHAnsi"/>
                <w:b/>
              </w:rPr>
              <w:t>Pri</w:t>
            </w:r>
            <w:r w:rsidR="006037F5">
              <w:rPr>
                <w:rFonts w:cstheme="minorHAnsi"/>
                <w:b/>
              </w:rPr>
              <w:t xml:space="preserve">jedlog se </w:t>
            </w:r>
            <w:r w:rsidRPr="00B718B2">
              <w:rPr>
                <w:rFonts w:cstheme="minorHAnsi"/>
                <w:b/>
              </w:rPr>
              <w:t>ne prihvaća.</w:t>
            </w:r>
            <w:r w:rsidR="00A43B00">
              <w:rPr>
                <w:rFonts w:cstheme="minorHAnsi"/>
                <w:b/>
              </w:rPr>
              <w:t xml:space="preserve"> </w:t>
            </w:r>
            <w:r w:rsidR="0058102F">
              <w:rPr>
                <w:rFonts w:cstheme="minorHAnsi"/>
                <w:b/>
              </w:rPr>
              <w:t>Odredbom čl. 122. stavak 4. S</w:t>
            </w:r>
            <w:r w:rsidR="00176A2B">
              <w:rPr>
                <w:rFonts w:cstheme="minorHAnsi"/>
                <w:b/>
              </w:rPr>
              <w:t>udskog poslovnika</w:t>
            </w:r>
            <w:r w:rsidR="0058102F">
              <w:rPr>
                <w:rFonts w:cstheme="minorHAnsi"/>
                <w:b/>
              </w:rPr>
              <w:t xml:space="preserve"> propisano je koji predmeti  se prvenstveno uzimaju u rad pa stoga nije opravdana primjedba da će se u slučaju zadržavanja predložene  odredbe rješavati predmeti manje važnosti, a da će značajni predmeti padati u zastaru.</w:t>
            </w:r>
            <w:r w:rsidR="00A14E6C">
              <w:rPr>
                <w:rFonts w:cstheme="minorHAnsi"/>
                <w:b/>
              </w:rPr>
              <w:t xml:space="preserve"> Naime, predloženom izmjenom uzimat će se u rad svi predmeti u kojima zastara nastupa u roku od 6 mjesec bez obzira na značenje i težinu predmeta. </w:t>
            </w:r>
          </w:p>
          <w:p w:rsidR="0006012A" w:rsidRPr="000C6236" w:rsidRDefault="0006012A" w:rsidP="006B671E">
            <w:pPr>
              <w:jc w:val="both"/>
              <w:rPr>
                <w:rFonts w:cstheme="minorHAnsi"/>
              </w:rPr>
            </w:pPr>
          </w:p>
        </w:tc>
      </w:tr>
      <w:tr w:rsidR="00DA55F4" w:rsidRPr="000C6236" w:rsidTr="000D46B5">
        <w:tc>
          <w:tcPr>
            <w:tcW w:w="287" w:type="pct"/>
            <w:vMerge w:val="restart"/>
            <w:vAlign w:val="center"/>
          </w:tcPr>
          <w:p w:rsidR="00DA55F4" w:rsidRPr="006C44B6" w:rsidRDefault="00DA55F4" w:rsidP="00BB2F6E">
            <w:pPr>
              <w:jc w:val="center"/>
              <w:rPr>
                <w:rFonts w:cstheme="minorHAnsi"/>
                <w:b/>
              </w:rPr>
            </w:pPr>
            <w:r w:rsidRPr="006C44B6">
              <w:rPr>
                <w:rFonts w:cstheme="minorHAnsi"/>
                <w:b/>
              </w:rPr>
              <w:t>2.</w:t>
            </w:r>
          </w:p>
          <w:p w:rsidR="00DA55F4" w:rsidRPr="006C44B6" w:rsidRDefault="00DA55F4" w:rsidP="00BB2F6E">
            <w:pPr>
              <w:jc w:val="center"/>
              <w:rPr>
                <w:rFonts w:cstheme="minorHAnsi"/>
                <w:b/>
              </w:rPr>
            </w:pPr>
          </w:p>
        </w:tc>
        <w:tc>
          <w:tcPr>
            <w:tcW w:w="848" w:type="pct"/>
            <w:vMerge w:val="restart"/>
            <w:vAlign w:val="center"/>
          </w:tcPr>
          <w:p w:rsidR="00DA55F4" w:rsidRDefault="00DA55F4" w:rsidP="002162D3">
            <w:pPr>
              <w:jc w:val="center"/>
              <w:rPr>
                <w:rFonts w:cstheme="minorHAnsi"/>
                <w:b/>
              </w:rPr>
            </w:pPr>
          </w:p>
          <w:p w:rsidR="00DA55F4" w:rsidRDefault="00DA55F4" w:rsidP="002162D3">
            <w:pPr>
              <w:jc w:val="center"/>
              <w:rPr>
                <w:rFonts w:cstheme="minorHAnsi"/>
                <w:b/>
              </w:rPr>
            </w:pPr>
          </w:p>
          <w:p w:rsidR="00DA55F4" w:rsidRPr="006C44B6" w:rsidRDefault="00DA55F4" w:rsidP="007E1993">
            <w:pPr>
              <w:jc w:val="center"/>
              <w:rPr>
                <w:rFonts w:cstheme="minorHAnsi"/>
                <w:b/>
              </w:rPr>
            </w:pPr>
            <w:r>
              <w:rPr>
                <w:rFonts w:cstheme="minorHAnsi"/>
                <w:b/>
              </w:rPr>
              <w:lastRenderedPageBreak/>
              <w:t>PREKRŠAJNI SUD U OSIJEKU</w:t>
            </w:r>
          </w:p>
          <w:p w:rsidR="00DA55F4" w:rsidRDefault="00DA55F4" w:rsidP="000D46B5">
            <w:pPr>
              <w:jc w:val="center"/>
              <w:rPr>
                <w:rFonts w:cstheme="minorHAnsi"/>
                <w:b/>
              </w:rPr>
            </w:pPr>
          </w:p>
          <w:p w:rsidR="00DA55F4" w:rsidRDefault="00DA55F4" w:rsidP="000D46B5">
            <w:pPr>
              <w:jc w:val="center"/>
              <w:rPr>
                <w:rFonts w:cstheme="minorHAnsi"/>
                <w:b/>
              </w:rPr>
            </w:pPr>
          </w:p>
          <w:p w:rsidR="00DA55F4" w:rsidRPr="006C44B6" w:rsidRDefault="00DA55F4" w:rsidP="000D46B5">
            <w:pPr>
              <w:jc w:val="center"/>
              <w:rPr>
                <w:rFonts w:cstheme="minorHAnsi"/>
                <w:b/>
              </w:rPr>
            </w:pPr>
          </w:p>
        </w:tc>
        <w:tc>
          <w:tcPr>
            <w:tcW w:w="748" w:type="pct"/>
            <w:vAlign w:val="center"/>
          </w:tcPr>
          <w:p w:rsidR="00DA55F4" w:rsidRPr="000C6236" w:rsidRDefault="00E82320" w:rsidP="00E82320">
            <w:pPr>
              <w:jc w:val="center"/>
              <w:rPr>
                <w:rFonts w:cstheme="minorHAnsi"/>
              </w:rPr>
            </w:pPr>
            <w:r>
              <w:rPr>
                <w:rFonts w:cstheme="minorHAnsi"/>
              </w:rPr>
              <w:lastRenderedPageBreak/>
              <w:t>Članak</w:t>
            </w:r>
            <w:r w:rsidR="00DA55F4">
              <w:rPr>
                <w:rFonts w:cstheme="minorHAnsi"/>
              </w:rPr>
              <w:t xml:space="preserve"> 4. Nacrta</w:t>
            </w:r>
          </w:p>
        </w:tc>
        <w:tc>
          <w:tcPr>
            <w:tcW w:w="1495" w:type="pct"/>
            <w:vAlign w:val="center"/>
          </w:tcPr>
          <w:p w:rsidR="00DA55F4" w:rsidRDefault="00DA55F4" w:rsidP="001907A3">
            <w:pPr>
              <w:jc w:val="both"/>
              <w:rPr>
                <w:rFonts w:cstheme="minorHAnsi"/>
              </w:rPr>
            </w:pPr>
            <w:r>
              <w:rPr>
                <w:rFonts w:cstheme="minorHAnsi"/>
              </w:rPr>
              <w:t xml:space="preserve">Predlaže se dodati zamjenika predsjednika suda kao osobu koja pomaže predsjedniku </w:t>
            </w:r>
            <w:r>
              <w:rPr>
                <w:rFonts w:cstheme="minorHAnsi"/>
              </w:rPr>
              <w:lastRenderedPageBreak/>
              <w:t>suda ukoliko sud nema tajnika.</w:t>
            </w:r>
          </w:p>
          <w:p w:rsidR="00DA55F4" w:rsidRPr="000C6236" w:rsidRDefault="00DA55F4" w:rsidP="001907A3">
            <w:pPr>
              <w:jc w:val="both"/>
              <w:rPr>
                <w:rFonts w:cstheme="minorHAnsi"/>
              </w:rPr>
            </w:pPr>
          </w:p>
        </w:tc>
        <w:tc>
          <w:tcPr>
            <w:tcW w:w="1622" w:type="pct"/>
          </w:tcPr>
          <w:p w:rsidR="00DA55F4" w:rsidRDefault="00DA55F4" w:rsidP="00BF2146">
            <w:pPr>
              <w:jc w:val="both"/>
              <w:rPr>
                <w:rFonts w:cstheme="minorHAnsi"/>
                <w:b/>
              </w:rPr>
            </w:pPr>
            <w:r>
              <w:rPr>
                <w:rFonts w:cstheme="minorHAnsi"/>
                <w:b/>
              </w:rPr>
              <w:lastRenderedPageBreak/>
              <w:t xml:space="preserve">Primjedba se ne prihvaća. Prijedlog nije u skladu s Konačnim prijedlogom Zakona o izmjenama i </w:t>
            </w:r>
            <w:r>
              <w:rPr>
                <w:rFonts w:cstheme="minorHAnsi"/>
                <w:b/>
              </w:rPr>
              <w:lastRenderedPageBreak/>
              <w:t>dopunama Zakona o sudovima.</w:t>
            </w:r>
          </w:p>
          <w:p w:rsidR="00DA55F4" w:rsidRPr="00BF2146" w:rsidRDefault="00DA55F4" w:rsidP="0071405E">
            <w:pPr>
              <w:jc w:val="both"/>
              <w:rPr>
                <w:rFonts w:cstheme="minorHAnsi"/>
              </w:rPr>
            </w:pPr>
          </w:p>
        </w:tc>
      </w:tr>
      <w:tr w:rsidR="00DA55F4" w:rsidRPr="000C6236" w:rsidTr="000D46B5">
        <w:tc>
          <w:tcPr>
            <w:tcW w:w="287" w:type="pct"/>
            <w:vMerge/>
            <w:vAlign w:val="center"/>
          </w:tcPr>
          <w:p w:rsidR="00DA55F4" w:rsidRPr="000C6236" w:rsidRDefault="00DA55F4" w:rsidP="00BB2F6E">
            <w:pPr>
              <w:jc w:val="center"/>
              <w:rPr>
                <w:rFonts w:cstheme="minorHAnsi"/>
              </w:rPr>
            </w:pPr>
          </w:p>
        </w:tc>
        <w:tc>
          <w:tcPr>
            <w:tcW w:w="848" w:type="pct"/>
            <w:vMerge/>
            <w:vAlign w:val="center"/>
          </w:tcPr>
          <w:p w:rsidR="00DA55F4" w:rsidRDefault="00DA55F4" w:rsidP="000D46B5">
            <w:pPr>
              <w:jc w:val="center"/>
              <w:rPr>
                <w:rFonts w:cstheme="minorHAnsi"/>
              </w:rPr>
            </w:pPr>
          </w:p>
        </w:tc>
        <w:tc>
          <w:tcPr>
            <w:tcW w:w="748" w:type="pct"/>
            <w:vAlign w:val="center"/>
          </w:tcPr>
          <w:p w:rsidR="00DA55F4" w:rsidRDefault="00E82320" w:rsidP="00BB2F6E">
            <w:pPr>
              <w:jc w:val="center"/>
              <w:rPr>
                <w:rFonts w:cstheme="minorHAnsi"/>
              </w:rPr>
            </w:pPr>
            <w:r>
              <w:rPr>
                <w:rFonts w:cstheme="minorHAnsi"/>
              </w:rPr>
              <w:t>Članak</w:t>
            </w:r>
            <w:r w:rsidR="00DA55F4">
              <w:rPr>
                <w:rFonts w:cstheme="minorHAnsi"/>
              </w:rPr>
              <w:t xml:space="preserve"> 11. Nacrta </w:t>
            </w:r>
          </w:p>
        </w:tc>
        <w:tc>
          <w:tcPr>
            <w:tcW w:w="1495" w:type="pct"/>
            <w:vAlign w:val="center"/>
          </w:tcPr>
          <w:p w:rsidR="00DA55F4" w:rsidRDefault="00DA55F4" w:rsidP="00BF2146">
            <w:pPr>
              <w:jc w:val="both"/>
              <w:rPr>
                <w:rFonts w:cstheme="minorHAnsi"/>
              </w:rPr>
            </w:pPr>
            <w:r>
              <w:rPr>
                <w:rFonts w:cstheme="minorHAnsi"/>
              </w:rPr>
              <w:t>Predlaže se pojednostaviti postupak izmjene godišnjeg rasporeda poslova kako bi se brže otklonili razlozi zbog kojih je potrebno mijenjati godišnji raspored poslova.</w:t>
            </w:r>
          </w:p>
          <w:p w:rsidR="00DA55F4" w:rsidRDefault="00DA55F4" w:rsidP="00BF2146">
            <w:pPr>
              <w:jc w:val="both"/>
              <w:rPr>
                <w:rFonts w:cstheme="minorHAnsi"/>
              </w:rPr>
            </w:pPr>
          </w:p>
        </w:tc>
        <w:tc>
          <w:tcPr>
            <w:tcW w:w="1622" w:type="pct"/>
          </w:tcPr>
          <w:p w:rsidR="00DA55F4" w:rsidRDefault="00DA55F4" w:rsidP="00D874C6">
            <w:pPr>
              <w:jc w:val="both"/>
              <w:rPr>
                <w:rFonts w:cstheme="minorHAnsi"/>
                <w:b/>
              </w:rPr>
            </w:pPr>
            <w:r>
              <w:rPr>
                <w:rFonts w:cstheme="minorHAnsi"/>
                <w:b/>
              </w:rPr>
              <w:t>Prijedlog se ne prihvaća. Naime, uobičajeno je da se postupak izmjene i dopune određenog akta provodi prema postupku koji vrijedi za njegovo donošenje.</w:t>
            </w:r>
          </w:p>
        </w:tc>
      </w:tr>
      <w:tr w:rsidR="00DA55F4" w:rsidRPr="000C6236" w:rsidTr="000D46B5">
        <w:tc>
          <w:tcPr>
            <w:tcW w:w="287" w:type="pct"/>
            <w:vMerge/>
            <w:vAlign w:val="center"/>
          </w:tcPr>
          <w:p w:rsidR="00DA55F4" w:rsidRPr="000C6236" w:rsidRDefault="00DA55F4" w:rsidP="00BB2F6E">
            <w:pPr>
              <w:jc w:val="center"/>
              <w:rPr>
                <w:rFonts w:cstheme="minorHAnsi"/>
              </w:rPr>
            </w:pPr>
          </w:p>
        </w:tc>
        <w:tc>
          <w:tcPr>
            <w:tcW w:w="848" w:type="pct"/>
            <w:vMerge/>
            <w:vAlign w:val="center"/>
          </w:tcPr>
          <w:p w:rsidR="00DA55F4" w:rsidRDefault="00DA55F4" w:rsidP="000D46B5">
            <w:pPr>
              <w:jc w:val="center"/>
              <w:rPr>
                <w:rFonts w:cstheme="minorHAnsi"/>
              </w:rPr>
            </w:pPr>
          </w:p>
        </w:tc>
        <w:tc>
          <w:tcPr>
            <w:tcW w:w="748" w:type="pct"/>
            <w:vAlign w:val="center"/>
          </w:tcPr>
          <w:p w:rsidR="00DA55F4" w:rsidRDefault="00E82320" w:rsidP="00BB2F6E">
            <w:pPr>
              <w:jc w:val="center"/>
              <w:rPr>
                <w:rFonts w:cstheme="minorHAnsi"/>
              </w:rPr>
            </w:pPr>
            <w:r>
              <w:rPr>
                <w:rFonts w:cstheme="minorHAnsi"/>
              </w:rPr>
              <w:t>Članak</w:t>
            </w:r>
            <w:r w:rsidR="00DA55F4">
              <w:rPr>
                <w:rFonts w:cstheme="minorHAnsi"/>
              </w:rPr>
              <w:t xml:space="preserve"> 11. Nacrta</w:t>
            </w:r>
          </w:p>
        </w:tc>
        <w:tc>
          <w:tcPr>
            <w:tcW w:w="1495" w:type="pct"/>
            <w:vAlign w:val="center"/>
          </w:tcPr>
          <w:p w:rsidR="00DA55F4" w:rsidRDefault="00DA55F4" w:rsidP="00BF2146">
            <w:pPr>
              <w:jc w:val="both"/>
              <w:rPr>
                <w:rFonts w:cstheme="minorHAnsi"/>
              </w:rPr>
            </w:pPr>
            <w:r>
              <w:rPr>
                <w:rFonts w:cstheme="minorHAnsi"/>
              </w:rPr>
              <w:t>Predlaže se dodavanje stavka 7. kojim bi se propisalo da će predsjednici Visokog prekršajnog suda RH i Visokog trgovačkog suda RH svaka tri mjeseca održavati zajedničke sastanke s predsjednicima svih prekršajnih odnosno trgovačkih sudova na kojima će se raspraviti i utvrditi da li je došlo do znatnijeg smanjenja ili povećanja broja određene vrste predmeta, potreba da se određenim vrstama predmeta odredi prvenstvo rješavanja kao i da li postoje opravdani razlozi za izmjenama godišnjeg rasporeda poslova prvostupanjskih sudova.</w:t>
            </w:r>
          </w:p>
          <w:p w:rsidR="00DA55F4" w:rsidRDefault="00DA55F4" w:rsidP="00BF2146">
            <w:pPr>
              <w:jc w:val="both"/>
              <w:rPr>
                <w:rFonts w:cstheme="minorHAnsi"/>
              </w:rPr>
            </w:pPr>
          </w:p>
        </w:tc>
        <w:tc>
          <w:tcPr>
            <w:tcW w:w="1622" w:type="pct"/>
          </w:tcPr>
          <w:p w:rsidR="00DA55F4" w:rsidRPr="00760080" w:rsidRDefault="00DA55F4" w:rsidP="00D874C6">
            <w:pPr>
              <w:jc w:val="both"/>
              <w:rPr>
                <w:rFonts w:cstheme="minorHAnsi"/>
              </w:rPr>
            </w:pPr>
            <w:r>
              <w:rPr>
                <w:rFonts w:cstheme="minorHAnsi"/>
                <w:b/>
              </w:rPr>
              <w:t>Prijedlog se ne prihvaća. Naime, navedena pitanja odnose se i rješavaju isključivo u okviru pojedinih sudova te njihovo rješavanje ne ovisi o okolnostima na drugim sudovima pa nema ni potrebe za održavanjem sastanaka takve vrste.</w:t>
            </w:r>
          </w:p>
          <w:p w:rsidR="00DA55F4" w:rsidRPr="00760080" w:rsidRDefault="00DA55F4" w:rsidP="0071405E">
            <w:pPr>
              <w:jc w:val="both"/>
              <w:rPr>
                <w:rFonts w:cstheme="minorHAnsi"/>
              </w:rPr>
            </w:pPr>
          </w:p>
        </w:tc>
      </w:tr>
      <w:tr w:rsidR="00DA55F4" w:rsidRPr="000C6236" w:rsidTr="000D46B5">
        <w:tc>
          <w:tcPr>
            <w:tcW w:w="287" w:type="pct"/>
            <w:vMerge/>
            <w:vAlign w:val="center"/>
          </w:tcPr>
          <w:p w:rsidR="00DA55F4" w:rsidRPr="000C6236" w:rsidRDefault="00DA55F4" w:rsidP="00BB2F6E">
            <w:pPr>
              <w:jc w:val="center"/>
              <w:rPr>
                <w:rFonts w:cstheme="minorHAnsi"/>
              </w:rPr>
            </w:pPr>
          </w:p>
        </w:tc>
        <w:tc>
          <w:tcPr>
            <w:tcW w:w="848" w:type="pct"/>
            <w:vMerge/>
            <w:vAlign w:val="center"/>
          </w:tcPr>
          <w:p w:rsidR="00DA55F4" w:rsidRDefault="00DA55F4" w:rsidP="000D46B5">
            <w:pPr>
              <w:jc w:val="center"/>
              <w:rPr>
                <w:rFonts w:cstheme="minorHAnsi"/>
              </w:rPr>
            </w:pPr>
          </w:p>
        </w:tc>
        <w:tc>
          <w:tcPr>
            <w:tcW w:w="748" w:type="pct"/>
            <w:vAlign w:val="center"/>
          </w:tcPr>
          <w:p w:rsidR="00DA55F4" w:rsidRDefault="00DA55F4" w:rsidP="00241DC7">
            <w:pPr>
              <w:jc w:val="center"/>
              <w:rPr>
                <w:rFonts w:cstheme="minorHAnsi"/>
              </w:rPr>
            </w:pPr>
            <w:r>
              <w:rPr>
                <w:rFonts w:cstheme="minorHAnsi"/>
              </w:rPr>
              <w:t xml:space="preserve">Članak 27.  stavak 8., 9., 10. i 11. Sudskog poslovnika </w:t>
            </w:r>
          </w:p>
        </w:tc>
        <w:tc>
          <w:tcPr>
            <w:tcW w:w="1495" w:type="pct"/>
            <w:vAlign w:val="center"/>
          </w:tcPr>
          <w:p w:rsidR="00DA55F4" w:rsidRDefault="00DA55F4" w:rsidP="001F75A3">
            <w:pPr>
              <w:jc w:val="both"/>
              <w:rPr>
                <w:rFonts w:cstheme="minorHAnsi"/>
              </w:rPr>
            </w:pPr>
            <w:r>
              <w:rPr>
                <w:rFonts w:cstheme="minorHAnsi"/>
              </w:rPr>
              <w:t>Navedeni stavci su u suprotnosti s K</w:t>
            </w:r>
            <w:r w:rsidRPr="00D874C6">
              <w:rPr>
                <w:rFonts w:cstheme="minorHAnsi"/>
              </w:rPr>
              <w:t>onačnim prijedlogom Zakona o izmjenama i dopunama Zakona o sudo</w:t>
            </w:r>
            <w:r>
              <w:rPr>
                <w:rFonts w:cstheme="minorHAnsi"/>
              </w:rPr>
              <w:t>vima koji je za sve navedene situacije predvidio izmjenu godišnjeg rasporeda poslova.</w:t>
            </w:r>
          </w:p>
          <w:p w:rsidR="00DA55F4" w:rsidRPr="00D874C6" w:rsidRDefault="00DA55F4" w:rsidP="001F75A3">
            <w:pPr>
              <w:jc w:val="both"/>
              <w:rPr>
                <w:rFonts w:cstheme="minorHAnsi"/>
              </w:rPr>
            </w:pPr>
          </w:p>
        </w:tc>
        <w:tc>
          <w:tcPr>
            <w:tcW w:w="1622" w:type="pct"/>
          </w:tcPr>
          <w:p w:rsidR="00DA55F4" w:rsidRDefault="00DA55F4" w:rsidP="002026ED">
            <w:pPr>
              <w:jc w:val="both"/>
              <w:rPr>
                <w:rFonts w:cstheme="minorHAnsi"/>
                <w:b/>
              </w:rPr>
            </w:pPr>
            <w:r>
              <w:rPr>
                <w:rFonts w:cstheme="minorHAnsi"/>
                <w:b/>
              </w:rPr>
              <w:t>Primjedba se ne prihvaća. Primjedba nije konkretizirana te nije jasno iz kojeg se razloga predložene odredbe Sudskog poslovnika smatraju protivnima Konačnom prijedlogu Zakona o izmjenama i dopunama Zakona o sudovima.</w:t>
            </w:r>
          </w:p>
          <w:p w:rsidR="00DA55F4" w:rsidRPr="005F07E5" w:rsidRDefault="00DA55F4" w:rsidP="0071405E">
            <w:pPr>
              <w:jc w:val="both"/>
              <w:rPr>
                <w:rFonts w:cstheme="minorHAnsi"/>
              </w:rPr>
            </w:pPr>
          </w:p>
        </w:tc>
      </w:tr>
      <w:tr w:rsidR="00DA55F4" w:rsidRPr="000C6236" w:rsidTr="000D46B5">
        <w:trPr>
          <w:trHeight w:val="934"/>
        </w:trPr>
        <w:tc>
          <w:tcPr>
            <w:tcW w:w="287" w:type="pct"/>
            <w:vMerge/>
            <w:vAlign w:val="center"/>
          </w:tcPr>
          <w:p w:rsidR="00DA55F4" w:rsidRPr="006C44B6" w:rsidRDefault="00DA55F4" w:rsidP="00BB2F6E">
            <w:pPr>
              <w:jc w:val="center"/>
              <w:rPr>
                <w:rFonts w:cstheme="minorHAnsi"/>
                <w:b/>
              </w:rPr>
            </w:pPr>
          </w:p>
        </w:tc>
        <w:tc>
          <w:tcPr>
            <w:tcW w:w="848" w:type="pct"/>
            <w:vMerge/>
            <w:vAlign w:val="center"/>
          </w:tcPr>
          <w:p w:rsidR="00DA55F4" w:rsidRPr="006C44B6" w:rsidRDefault="00DA55F4" w:rsidP="000D46B5">
            <w:pPr>
              <w:jc w:val="center"/>
              <w:rPr>
                <w:rFonts w:cstheme="minorHAnsi"/>
                <w:b/>
              </w:rPr>
            </w:pPr>
          </w:p>
        </w:tc>
        <w:tc>
          <w:tcPr>
            <w:tcW w:w="748" w:type="pct"/>
            <w:vAlign w:val="center"/>
          </w:tcPr>
          <w:p w:rsidR="00DA55F4" w:rsidRPr="000C6236" w:rsidRDefault="00DA55F4" w:rsidP="00BB2F6E">
            <w:pPr>
              <w:jc w:val="center"/>
              <w:rPr>
                <w:rFonts w:cstheme="minorHAnsi"/>
              </w:rPr>
            </w:pPr>
            <w:r>
              <w:rPr>
                <w:rFonts w:cstheme="minorHAnsi"/>
              </w:rPr>
              <w:t>Predlaže se novi članak 22. Nacrta</w:t>
            </w:r>
          </w:p>
        </w:tc>
        <w:tc>
          <w:tcPr>
            <w:tcW w:w="1495" w:type="pct"/>
            <w:vAlign w:val="center"/>
          </w:tcPr>
          <w:p w:rsidR="00DA55F4" w:rsidRDefault="00DA55F4" w:rsidP="002026ED">
            <w:pPr>
              <w:jc w:val="both"/>
              <w:rPr>
                <w:rFonts w:cstheme="minorHAnsi"/>
              </w:rPr>
            </w:pPr>
            <w:r>
              <w:rPr>
                <w:rFonts w:cstheme="minorHAnsi"/>
              </w:rPr>
              <w:t>Zbog podnormiranosti Sudskog poslovnika u di</w:t>
            </w:r>
            <w:r w:rsidR="00E82320">
              <w:rPr>
                <w:rFonts w:cstheme="minorHAnsi"/>
              </w:rPr>
              <w:t>jelu koji se odnosi na uvjerenje</w:t>
            </w:r>
            <w:r>
              <w:rPr>
                <w:rFonts w:cstheme="minorHAnsi"/>
              </w:rPr>
              <w:t xml:space="preserve"> da se ne vodi prekršajni postupak potrebno je dodati novi članak koji bi regulirao navedenu materiju.</w:t>
            </w:r>
          </w:p>
          <w:p w:rsidR="00DA55F4" w:rsidRPr="000C6236" w:rsidRDefault="00DA55F4" w:rsidP="002026ED">
            <w:pPr>
              <w:jc w:val="both"/>
              <w:rPr>
                <w:rFonts w:cstheme="minorHAnsi"/>
              </w:rPr>
            </w:pPr>
          </w:p>
        </w:tc>
        <w:tc>
          <w:tcPr>
            <w:tcW w:w="1622" w:type="pct"/>
          </w:tcPr>
          <w:p w:rsidR="00DA55F4" w:rsidRDefault="00E82320" w:rsidP="001254FC">
            <w:pPr>
              <w:jc w:val="both"/>
              <w:rPr>
                <w:rFonts w:cstheme="minorHAnsi"/>
                <w:b/>
              </w:rPr>
            </w:pPr>
            <w:r>
              <w:rPr>
                <w:rFonts w:cstheme="minorHAnsi"/>
                <w:b/>
              </w:rPr>
              <w:t>Prijedlog</w:t>
            </w:r>
            <w:r w:rsidR="00DA55F4">
              <w:rPr>
                <w:rFonts w:cstheme="minorHAnsi"/>
                <w:b/>
              </w:rPr>
              <w:t xml:space="preserve"> se ne prihvaća. Prijedlog nije predmet ovih Izmjena i dopuna Sudskog poslovnika.</w:t>
            </w:r>
          </w:p>
          <w:p w:rsidR="00DA55F4" w:rsidRDefault="00DA55F4" w:rsidP="0071405E">
            <w:pPr>
              <w:jc w:val="both"/>
              <w:rPr>
                <w:rFonts w:cstheme="minorHAnsi"/>
              </w:rPr>
            </w:pPr>
          </w:p>
          <w:p w:rsidR="00DA55F4" w:rsidRPr="00AE1AD1" w:rsidRDefault="00DA55F4" w:rsidP="0071405E">
            <w:pPr>
              <w:jc w:val="both"/>
              <w:rPr>
                <w:rFonts w:cstheme="minorHAnsi"/>
              </w:rPr>
            </w:pPr>
          </w:p>
        </w:tc>
      </w:tr>
      <w:tr w:rsidR="00DA55F4" w:rsidRPr="000C6236" w:rsidTr="0074114A">
        <w:trPr>
          <w:trHeight w:val="1440"/>
        </w:trPr>
        <w:tc>
          <w:tcPr>
            <w:tcW w:w="287" w:type="pct"/>
            <w:vMerge/>
            <w:tcBorders>
              <w:bottom w:val="single" w:sz="4" w:space="0" w:color="365F91" w:themeColor="accent1" w:themeShade="BF"/>
            </w:tcBorders>
            <w:vAlign w:val="center"/>
          </w:tcPr>
          <w:p w:rsidR="00DA55F4" w:rsidRPr="006C44B6" w:rsidRDefault="00DA55F4" w:rsidP="000D46B5">
            <w:pPr>
              <w:jc w:val="center"/>
              <w:rPr>
                <w:rFonts w:cstheme="minorHAnsi"/>
                <w:b/>
              </w:rPr>
            </w:pPr>
          </w:p>
        </w:tc>
        <w:tc>
          <w:tcPr>
            <w:tcW w:w="848" w:type="pct"/>
            <w:vMerge/>
            <w:tcBorders>
              <w:bottom w:val="single" w:sz="4" w:space="0" w:color="365F91" w:themeColor="accent1" w:themeShade="BF"/>
            </w:tcBorders>
            <w:vAlign w:val="center"/>
          </w:tcPr>
          <w:p w:rsidR="00DA55F4" w:rsidRPr="006C44B6" w:rsidRDefault="00DA55F4" w:rsidP="000D46B5">
            <w:pPr>
              <w:jc w:val="center"/>
              <w:rPr>
                <w:rFonts w:cstheme="minorHAnsi"/>
                <w:b/>
              </w:rPr>
            </w:pPr>
          </w:p>
        </w:tc>
        <w:tc>
          <w:tcPr>
            <w:tcW w:w="748" w:type="pct"/>
            <w:tcBorders>
              <w:bottom w:val="single" w:sz="4" w:space="0" w:color="365F91" w:themeColor="accent1" w:themeShade="BF"/>
            </w:tcBorders>
            <w:vAlign w:val="center"/>
          </w:tcPr>
          <w:p w:rsidR="00DA55F4" w:rsidRPr="000C6236" w:rsidRDefault="00DA55F4" w:rsidP="00BB2F6E">
            <w:pPr>
              <w:jc w:val="center"/>
              <w:rPr>
                <w:rFonts w:cstheme="minorHAnsi"/>
              </w:rPr>
            </w:pPr>
            <w:r>
              <w:rPr>
                <w:rFonts w:cstheme="minorHAnsi"/>
              </w:rPr>
              <w:t>Članak 29. Nacrta</w:t>
            </w:r>
          </w:p>
        </w:tc>
        <w:tc>
          <w:tcPr>
            <w:tcW w:w="1495" w:type="pct"/>
            <w:tcBorders>
              <w:bottom w:val="single" w:sz="4" w:space="0" w:color="365F91" w:themeColor="accent1" w:themeShade="BF"/>
            </w:tcBorders>
            <w:vAlign w:val="center"/>
          </w:tcPr>
          <w:p w:rsidR="00DA55F4" w:rsidRPr="000C6236" w:rsidRDefault="00DA55F4" w:rsidP="0071405E">
            <w:pPr>
              <w:jc w:val="both"/>
              <w:rPr>
                <w:rFonts w:cstheme="minorHAnsi"/>
              </w:rPr>
            </w:pPr>
            <w:r>
              <w:rPr>
                <w:rFonts w:cstheme="minorHAnsi"/>
              </w:rPr>
              <w:t>Predlaže se da se novo osnovani upisnik o izdanim i primljenim potvrdama u svrhu priznanja izvršenja odluka o novčanoj kazni između država članica EU nazove Ikp-eu.</w:t>
            </w:r>
          </w:p>
        </w:tc>
        <w:tc>
          <w:tcPr>
            <w:tcW w:w="1622" w:type="pct"/>
            <w:tcBorders>
              <w:bottom w:val="single" w:sz="4" w:space="0" w:color="365F91" w:themeColor="accent1" w:themeShade="BF"/>
            </w:tcBorders>
          </w:tcPr>
          <w:p w:rsidR="00DA55F4" w:rsidRDefault="00DA55F4" w:rsidP="008B0029">
            <w:r>
              <w:rPr>
                <w:rFonts w:cstheme="minorHAnsi"/>
                <w:b/>
              </w:rPr>
              <w:t xml:space="preserve">Prijedlog se </w:t>
            </w:r>
            <w:r w:rsidRPr="00363B8B">
              <w:rPr>
                <w:rFonts w:cstheme="minorHAnsi"/>
                <w:b/>
              </w:rPr>
              <w:t>prihvaća</w:t>
            </w:r>
            <w:r>
              <w:rPr>
                <w:rFonts w:cstheme="minorHAnsi"/>
                <w:b/>
              </w:rPr>
              <w:t>.</w:t>
            </w:r>
          </w:p>
          <w:p w:rsidR="00DA55F4" w:rsidRDefault="00DA55F4" w:rsidP="001254FC">
            <w:pPr>
              <w:jc w:val="both"/>
              <w:rPr>
                <w:b/>
              </w:rPr>
            </w:pPr>
          </w:p>
          <w:p w:rsidR="00DA55F4" w:rsidRDefault="00DA55F4" w:rsidP="001F75A3">
            <w:pPr>
              <w:jc w:val="both"/>
            </w:pPr>
          </w:p>
        </w:tc>
      </w:tr>
      <w:tr w:rsidR="00BB633E" w:rsidRPr="003A3FDF" w:rsidTr="000D46B5">
        <w:tc>
          <w:tcPr>
            <w:tcW w:w="287" w:type="pct"/>
            <w:vMerge w:val="restart"/>
            <w:vAlign w:val="center"/>
          </w:tcPr>
          <w:p w:rsidR="00BB633E" w:rsidRPr="006C44B6" w:rsidRDefault="00BB633E" w:rsidP="000D46B5">
            <w:pPr>
              <w:rPr>
                <w:rFonts w:cstheme="minorHAnsi"/>
                <w:b/>
              </w:rPr>
            </w:pPr>
            <w:r>
              <w:rPr>
                <w:rFonts w:cstheme="minorHAnsi"/>
                <w:b/>
              </w:rPr>
              <w:t xml:space="preserve">    3.</w:t>
            </w:r>
          </w:p>
          <w:p w:rsidR="00BB633E" w:rsidRDefault="00BB633E" w:rsidP="00BB2F6E">
            <w:pPr>
              <w:jc w:val="center"/>
              <w:rPr>
                <w:rFonts w:cstheme="minorHAnsi"/>
                <w:b/>
              </w:rPr>
            </w:pPr>
          </w:p>
          <w:p w:rsidR="00BB633E" w:rsidRDefault="00BB633E" w:rsidP="00BB2F6E">
            <w:pPr>
              <w:jc w:val="center"/>
              <w:rPr>
                <w:rFonts w:cstheme="minorHAnsi"/>
                <w:b/>
              </w:rPr>
            </w:pPr>
          </w:p>
          <w:p w:rsidR="00BB633E" w:rsidRDefault="00BB633E" w:rsidP="00BB2F6E">
            <w:pPr>
              <w:jc w:val="center"/>
              <w:rPr>
                <w:rFonts w:cstheme="minorHAnsi"/>
                <w:b/>
              </w:rPr>
            </w:pPr>
          </w:p>
          <w:p w:rsidR="00BB633E" w:rsidRDefault="00BB633E" w:rsidP="00BB2F6E">
            <w:pPr>
              <w:jc w:val="center"/>
              <w:rPr>
                <w:rFonts w:cstheme="minorHAnsi"/>
                <w:b/>
              </w:rPr>
            </w:pPr>
          </w:p>
          <w:p w:rsidR="00BB633E" w:rsidRPr="006C44B6" w:rsidRDefault="00BB633E" w:rsidP="00BB2F6E">
            <w:pPr>
              <w:jc w:val="center"/>
              <w:rPr>
                <w:rFonts w:cstheme="minorHAnsi"/>
                <w:b/>
              </w:rPr>
            </w:pPr>
          </w:p>
        </w:tc>
        <w:tc>
          <w:tcPr>
            <w:tcW w:w="848" w:type="pct"/>
            <w:vMerge w:val="restart"/>
            <w:vAlign w:val="center"/>
          </w:tcPr>
          <w:p w:rsidR="00BB633E" w:rsidRPr="006C44B6" w:rsidRDefault="00BB633E" w:rsidP="002162D3">
            <w:pPr>
              <w:jc w:val="center"/>
              <w:rPr>
                <w:rFonts w:cstheme="minorHAnsi"/>
                <w:b/>
              </w:rPr>
            </w:pPr>
            <w:r>
              <w:rPr>
                <w:rFonts w:cstheme="minorHAnsi"/>
                <w:b/>
              </w:rPr>
              <w:t>PREKRŠAJNI SUD U ĐAKOVU</w:t>
            </w:r>
          </w:p>
          <w:p w:rsidR="00BB633E" w:rsidRDefault="00BB633E" w:rsidP="000D46B5">
            <w:pPr>
              <w:jc w:val="center"/>
              <w:rPr>
                <w:rFonts w:cstheme="minorHAnsi"/>
                <w:b/>
              </w:rPr>
            </w:pPr>
          </w:p>
          <w:p w:rsidR="00BB633E" w:rsidRDefault="00BB633E" w:rsidP="000D46B5">
            <w:pPr>
              <w:jc w:val="center"/>
              <w:rPr>
                <w:rFonts w:cstheme="minorHAnsi"/>
                <w:b/>
              </w:rPr>
            </w:pPr>
          </w:p>
          <w:p w:rsidR="00BB633E" w:rsidRDefault="00BB633E" w:rsidP="000D46B5">
            <w:pPr>
              <w:jc w:val="center"/>
              <w:rPr>
                <w:rFonts w:cstheme="minorHAnsi"/>
                <w:b/>
              </w:rPr>
            </w:pPr>
          </w:p>
          <w:p w:rsidR="00BB633E" w:rsidRDefault="00BB633E" w:rsidP="000D46B5">
            <w:pPr>
              <w:jc w:val="center"/>
              <w:rPr>
                <w:rFonts w:cstheme="minorHAnsi"/>
                <w:b/>
              </w:rPr>
            </w:pPr>
          </w:p>
          <w:p w:rsidR="00BB633E" w:rsidRPr="006C44B6" w:rsidRDefault="00BB633E" w:rsidP="000D46B5">
            <w:pPr>
              <w:jc w:val="center"/>
              <w:rPr>
                <w:rFonts w:cstheme="minorHAnsi"/>
                <w:b/>
              </w:rPr>
            </w:pPr>
          </w:p>
        </w:tc>
        <w:tc>
          <w:tcPr>
            <w:tcW w:w="748" w:type="pct"/>
            <w:vAlign w:val="center"/>
          </w:tcPr>
          <w:p w:rsidR="00BB633E" w:rsidRPr="00F367A8" w:rsidRDefault="00BB633E" w:rsidP="00BB2F6E">
            <w:pPr>
              <w:jc w:val="center"/>
              <w:rPr>
                <w:rFonts w:cstheme="minorHAnsi"/>
              </w:rPr>
            </w:pPr>
            <w:r>
              <w:rPr>
                <w:rFonts w:cstheme="minorHAnsi"/>
              </w:rPr>
              <w:t>Članak 24. Sudskog poslovnika</w:t>
            </w:r>
          </w:p>
        </w:tc>
        <w:tc>
          <w:tcPr>
            <w:tcW w:w="1495" w:type="pct"/>
            <w:vAlign w:val="center"/>
          </w:tcPr>
          <w:p w:rsidR="00BB633E" w:rsidRDefault="00BB633E" w:rsidP="008A146C">
            <w:pPr>
              <w:jc w:val="both"/>
              <w:rPr>
                <w:rFonts w:cstheme="minorHAnsi"/>
              </w:rPr>
            </w:pPr>
            <w:r>
              <w:rPr>
                <w:rFonts w:cstheme="minorHAnsi"/>
              </w:rPr>
              <w:t>Predlaže promjena članka 24. Sudskog poslovnika na način da se pojednostavi postupak izmjene godišnjeg rasporeda poslova kako bi se brže otklonili razlozi zbog kojih je potrebno mijenjati godišnji raspored poslova.</w:t>
            </w:r>
          </w:p>
          <w:p w:rsidR="00BB633E" w:rsidRPr="00F367A8" w:rsidRDefault="00BB633E" w:rsidP="00750FAB">
            <w:pPr>
              <w:jc w:val="both"/>
              <w:rPr>
                <w:rFonts w:cstheme="minorHAnsi"/>
              </w:rPr>
            </w:pPr>
          </w:p>
        </w:tc>
        <w:tc>
          <w:tcPr>
            <w:tcW w:w="1622" w:type="pct"/>
          </w:tcPr>
          <w:p w:rsidR="00BB633E" w:rsidRPr="0003692F" w:rsidRDefault="00BB633E" w:rsidP="00E82320">
            <w:pPr>
              <w:rPr>
                <w:rFonts w:cstheme="minorHAnsi"/>
                <w:b/>
              </w:rPr>
            </w:pPr>
            <w:r>
              <w:rPr>
                <w:rFonts w:cstheme="minorHAnsi"/>
                <w:b/>
              </w:rPr>
              <w:t xml:space="preserve">Prijedlog se ne prihvaća. </w:t>
            </w:r>
            <w:r w:rsidR="00E82320" w:rsidRPr="008A146C">
              <w:rPr>
                <w:rFonts w:cstheme="minorHAnsi"/>
                <w:b/>
              </w:rPr>
              <w:t>. Upućuje se na gornju argumentaciju vezano za istu primjedbu.</w:t>
            </w:r>
          </w:p>
        </w:tc>
      </w:tr>
      <w:tr w:rsidR="00BB633E" w:rsidRPr="003A3FDF" w:rsidTr="000D46B5">
        <w:trPr>
          <w:trHeight w:val="200"/>
        </w:trPr>
        <w:tc>
          <w:tcPr>
            <w:tcW w:w="287" w:type="pct"/>
            <w:vMerge/>
            <w:vAlign w:val="center"/>
          </w:tcPr>
          <w:p w:rsidR="00BB633E" w:rsidRPr="003A3FDF" w:rsidRDefault="00BB633E" w:rsidP="00BB2F6E">
            <w:pPr>
              <w:jc w:val="center"/>
              <w:rPr>
                <w:rFonts w:cstheme="minorHAnsi"/>
                <w:highlight w:val="yellow"/>
              </w:rPr>
            </w:pPr>
          </w:p>
        </w:tc>
        <w:tc>
          <w:tcPr>
            <w:tcW w:w="848" w:type="pct"/>
            <w:vMerge/>
            <w:vAlign w:val="center"/>
          </w:tcPr>
          <w:p w:rsidR="00BB633E" w:rsidRPr="003A3FDF" w:rsidRDefault="00BB633E" w:rsidP="000D46B5">
            <w:pPr>
              <w:jc w:val="center"/>
              <w:rPr>
                <w:rFonts w:cstheme="minorHAnsi"/>
                <w:highlight w:val="yellow"/>
              </w:rPr>
            </w:pPr>
          </w:p>
        </w:tc>
        <w:tc>
          <w:tcPr>
            <w:tcW w:w="748" w:type="pct"/>
            <w:vAlign w:val="center"/>
          </w:tcPr>
          <w:p w:rsidR="00BB633E" w:rsidRPr="003A3FDF" w:rsidRDefault="00BB633E" w:rsidP="008A146C">
            <w:pPr>
              <w:rPr>
                <w:rFonts w:cstheme="minorHAnsi"/>
                <w:highlight w:val="yellow"/>
              </w:rPr>
            </w:pPr>
            <w:r w:rsidRPr="008A146C">
              <w:rPr>
                <w:rFonts w:cstheme="minorHAnsi"/>
              </w:rPr>
              <w:t>Članak 11. Nacrta</w:t>
            </w:r>
          </w:p>
        </w:tc>
        <w:tc>
          <w:tcPr>
            <w:tcW w:w="1495" w:type="pct"/>
            <w:vAlign w:val="center"/>
          </w:tcPr>
          <w:p w:rsidR="00BB633E" w:rsidRDefault="00BB633E" w:rsidP="008A146C">
            <w:pPr>
              <w:jc w:val="both"/>
              <w:rPr>
                <w:rFonts w:cstheme="minorHAnsi"/>
              </w:rPr>
            </w:pPr>
            <w:r>
              <w:rPr>
                <w:rFonts w:cstheme="minorHAnsi"/>
              </w:rPr>
              <w:t>Predlaže se dodavanje stavka 7. kojim bi se propisalo da će predsjednici Visokog prekršajnog suda RH i Visokog trgovačkog suda RH svaka tri mjeseca održavati zajedničke sastanke s predsjednicima svih prekršajnih odnosno trgovačkih sudova na kojima će se raspraviti i utvrditi da li je došlo do znatnijeg smanjenja ili povećanja broja određene vrste predmeta, potreba da se određenim vrstama predmeta odredi prvenstvo rješavanja kao i da li postoje opravdani razlozi za izmjenama godišnjeg rasporeda poslova prvostupanjskih sudova.</w:t>
            </w:r>
          </w:p>
          <w:p w:rsidR="00BB633E" w:rsidRPr="003A3FDF" w:rsidRDefault="00BB633E" w:rsidP="000D46B5">
            <w:pPr>
              <w:jc w:val="both"/>
              <w:rPr>
                <w:rFonts w:cstheme="minorHAnsi"/>
                <w:highlight w:val="yellow"/>
              </w:rPr>
            </w:pPr>
          </w:p>
        </w:tc>
        <w:tc>
          <w:tcPr>
            <w:tcW w:w="1622" w:type="pct"/>
          </w:tcPr>
          <w:p w:rsidR="00BB633E" w:rsidRPr="008A146C" w:rsidRDefault="00BB633E" w:rsidP="00D85FEF">
            <w:pPr>
              <w:rPr>
                <w:rFonts w:cstheme="minorHAnsi"/>
                <w:b/>
              </w:rPr>
            </w:pPr>
            <w:r w:rsidRPr="008A146C">
              <w:rPr>
                <w:rFonts w:cstheme="minorHAnsi"/>
                <w:b/>
              </w:rPr>
              <w:t>Prijedlog se ne prihvaća. Upućuje se na gornju argumentaciju vezano za istu primjedbu.</w:t>
            </w:r>
          </w:p>
        </w:tc>
      </w:tr>
      <w:tr w:rsidR="00BB633E" w:rsidRPr="003A3FDF" w:rsidTr="000D46B5">
        <w:trPr>
          <w:trHeight w:val="598"/>
        </w:trPr>
        <w:tc>
          <w:tcPr>
            <w:tcW w:w="287" w:type="pct"/>
            <w:vMerge/>
            <w:vAlign w:val="center"/>
          </w:tcPr>
          <w:p w:rsidR="00BB633E" w:rsidRPr="006C44B6" w:rsidRDefault="00BB633E" w:rsidP="00BB2F6E">
            <w:pPr>
              <w:jc w:val="center"/>
              <w:rPr>
                <w:rFonts w:cstheme="minorHAnsi"/>
                <w:b/>
              </w:rPr>
            </w:pPr>
          </w:p>
        </w:tc>
        <w:tc>
          <w:tcPr>
            <w:tcW w:w="848" w:type="pct"/>
            <w:vMerge/>
            <w:vAlign w:val="center"/>
          </w:tcPr>
          <w:p w:rsidR="00BB633E" w:rsidRPr="006C44B6" w:rsidRDefault="00BB633E" w:rsidP="000D46B5">
            <w:pPr>
              <w:jc w:val="center"/>
              <w:rPr>
                <w:rFonts w:cstheme="minorHAnsi"/>
                <w:b/>
              </w:rPr>
            </w:pPr>
          </w:p>
        </w:tc>
        <w:tc>
          <w:tcPr>
            <w:tcW w:w="748" w:type="pct"/>
            <w:vAlign w:val="center"/>
          </w:tcPr>
          <w:p w:rsidR="00BB633E" w:rsidRPr="00B7564C" w:rsidRDefault="00BB633E" w:rsidP="00BB2F6E">
            <w:pPr>
              <w:jc w:val="center"/>
              <w:rPr>
                <w:rFonts w:cstheme="minorHAnsi"/>
              </w:rPr>
            </w:pPr>
            <w:r>
              <w:rPr>
                <w:rFonts w:cstheme="minorHAnsi"/>
              </w:rPr>
              <w:t>Članak 27.  stavak 8., 9., 10. i 11. Sudskog poslovnika</w:t>
            </w:r>
          </w:p>
        </w:tc>
        <w:tc>
          <w:tcPr>
            <w:tcW w:w="1495" w:type="pct"/>
            <w:vAlign w:val="center"/>
          </w:tcPr>
          <w:p w:rsidR="00BB633E" w:rsidRDefault="00BB633E" w:rsidP="00241DC7">
            <w:pPr>
              <w:jc w:val="both"/>
              <w:rPr>
                <w:rFonts w:cstheme="minorHAnsi"/>
              </w:rPr>
            </w:pPr>
            <w:r>
              <w:rPr>
                <w:rFonts w:cstheme="minorHAnsi"/>
              </w:rPr>
              <w:t>Stavci 8., 9., 10. i 11. Sudskog poslovnika su u suprotnosti s K</w:t>
            </w:r>
            <w:r w:rsidRPr="00D874C6">
              <w:rPr>
                <w:rFonts w:cstheme="minorHAnsi"/>
              </w:rPr>
              <w:t>onačnim prijedlogom Zakona o izmjenama i dopunama Zakona o sudo</w:t>
            </w:r>
            <w:r>
              <w:rPr>
                <w:rFonts w:cstheme="minorHAnsi"/>
              </w:rPr>
              <w:t>vima.</w:t>
            </w:r>
          </w:p>
          <w:p w:rsidR="00BB633E" w:rsidRPr="00291D11" w:rsidRDefault="00BB633E" w:rsidP="00291D11">
            <w:pPr>
              <w:rPr>
                <w:rFonts w:cstheme="minorHAnsi"/>
              </w:rPr>
            </w:pPr>
            <w:r>
              <w:rPr>
                <w:rFonts w:cstheme="minorHAnsi"/>
              </w:rPr>
              <w:t xml:space="preserve"> </w:t>
            </w:r>
          </w:p>
        </w:tc>
        <w:tc>
          <w:tcPr>
            <w:tcW w:w="1622" w:type="pct"/>
          </w:tcPr>
          <w:p w:rsidR="00BB633E" w:rsidRPr="00B918DB" w:rsidRDefault="00BB633E" w:rsidP="00750FAB">
            <w:pPr>
              <w:rPr>
                <w:rFonts w:cstheme="minorHAnsi"/>
              </w:rPr>
            </w:pPr>
            <w:r w:rsidRPr="008A146C">
              <w:rPr>
                <w:rFonts w:cstheme="minorHAnsi"/>
                <w:b/>
              </w:rPr>
              <w:t xml:space="preserve"> </w:t>
            </w:r>
            <w:r>
              <w:rPr>
                <w:rFonts w:cstheme="minorHAnsi"/>
                <w:b/>
              </w:rPr>
              <w:t>Primjedba</w:t>
            </w:r>
            <w:r w:rsidRPr="008A146C">
              <w:rPr>
                <w:rFonts w:cstheme="minorHAnsi"/>
                <w:b/>
              </w:rPr>
              <w:t xml:space="preserve"> se ne prihvaća. Upućuje se na gornju argumentaciju vezano za istu primjedbu</w:t>
            </w:r>
            <w:r>
              <w:rPr>
                <w:rFonts w:cstheme="minorHAnsi"/>
                <w:b/>
              </w:rPr>
              <w:t>.</w:t>
            </w:r>
          </w:p>
        </w:tc>
      </w:tr>
      <w:tr w:rsidR="00BB633E" w:rsidRPr="003A3FDF" w:rsidTr="000D46B5">
        <w:trPr>
          <w:trHeight w:val="598"/>
        </w:trPr>
        <w:tc>
          <w:tcPr>
            <w:tcW w:w="287" w:type="pct"/>
            <w:vMerge/>
            <w:vAlign w:val="center"/>
          </w:tcPr>
          <w:p w:rsidR="00BB633E" w:rsidRPr="006C44B6" w:rsidRDefault="00BB633E" w:rsidP="00BB2F6E">
            <w:pPr>
              <w:jc w:val="center"/>
              <w:rPr>
                <w:rFonts w:cstheme="minorHAnsi"/>
                <w:b/>
              </w:rPr>
            </w:pPr>
          </w:p>
        </w:tc>
        <w:tc>
          <w:tcPr>
            <w:tcW w:w="848" w:type="pct"/>
            <w:vMerge/>
            <w:vAlign w:val="center"/>
          </w:tcPr>
          <w:p w:rsidR="00BB633E" w:rsidRPr="006C44B6" w:rsidRDefault="00BB633E" w:rsidP="000D46B5">
            <w:pPr>
              <w:jc w:val="center"/>
              <w:rPr>
                <w:rFonts w:cstheme="minorHAnsi"/>
                <w:b/>
              </w:rPr>
            </w:pPr>
          </w:p>
        </w:tc>
        <w:tc>
          <w:tcPr>
            <w:tcW w:w="748" w:type="pct"/>
            <w:vAlign w:val="center"/>
          </w:tcPr>
          <w:p w:rsidR="00BB633E" w:rsidRDefault="00BB633E" w:rsidP="00BB2F6E">
            <w:pPr>
              <w:jc w:val="center"/>
              <w:rPr>
                <w:rFonts w:cstheme="minorHAnsi"/>
              </w:rPr>
            </w:pPr>
            <w:r>
              <w:rPr>
                <w:rFonts w:cstheme="minorHAnsi"/>
              </w:rPr>
              <w:t>Članak 28. stavak 1. Sudskog poslovnika</w:t>
            </w:r>
          </w:p>
        </w:tc>
        <w:tc>
          <w:tcPr>
            <w:tcW w:w="1495" w:type="pct"/>
            <w:vAlign w:val="center"/>
          </w:tcPr>
          <w:p w:rsidR="00BB633E" w:rsidRDefault="00BB633E" w:rsidP="00241DC7">
            <w:pPr>
              <w:jc w:val="both"/>
              <w:rPr>
                <w:rFonts w:cstheme="minorHAnsi"/>
              </w:rPr>
            </w:pPr>
            <w:r>
              <w:rPr>
                <w:rFonts w:cstheme="minorHAnsi"/>
              </w:rPr>
              <w:t>Članak 28. stavak 1. Sudskog poslovnika u suprotnosti je s konačnim prijedlogom Zakona o izmjenama i dopunama Zakona o sudovima.</w:t>
            </w:r>
          </w:p>
        </w:tc>
        <w:tc>
          <w:tcPr>
            <w:tcW w:w="1622" w:type="pct"/>
          </w:tcPr>
          <w:p w:rsidR="00E82320" w:rsidRDefault="00BB633E" w:rsidP="00E82320">
            <w:pPr>
              <w:jc w:val="both"/>
              <w:rPr>
                <w:rFonts w:cstheme="minorHAnsi"/>
                <w:b/>
              </w:rPr>
            </w:pPr>
            <w:r>
              <w:rPr>
                <w:rFonts w:cstheme="minorHAnsi"/>
                <w:b/>
              </w:rPr>
              <w:t xml:space="preserve">Primjedba se ne prihvaća. </w:t>
            </w:r>
            <w:r w:rsidR="00E82320">
              <w:rPr>
                <w:rFonts w:cstheme="minorHAnsi"/>
                <w:b/>
              </w:rPr>
              <w:t>. Primjedba nije konkretizirana te nije jasno iz kojeg se razloga predložene odredbe Sudskog poslovnika smatraju protivnima Konačnom prijedlogu Zakona o izmjenama i dopunama Zakona o sudovima.</w:t>
            </w:r>
          </w:p>
          <w:p w:rsidR="00BB633E" w:rsidRPr="008A146C" w:rsidRDefault="00BB633E" w:rsidP="00E82320">
            <w:pPr>
              <w:jc w:val="both"/>
              <w:rPr>
                <w:rFonts w:cstheme="minorHAnsi"/>
                <w:b/>
              </w:rPr>
            </w:pPr>
          </w:p>
        </w:tc>
      </w:tr>
      <w:tr w:rsidR="00BB633E" w:rsidRPr="003A3FDF" w:rsidTr="000D46B5">
        <w:trPr>
          <w:trHeight w:val="598"/>
        </w:trPr>
        <w:tc>
          <w:tcPr>
            <w:tcW w:w="287" w:type="pct"/>
            <w:vMerge/>
            <w:vAlign w:val="center"/>
          </w:tcPr>
          <w:p w:rsidR="00BB633E" w:rsidRPr="00B7564C" w:rsidRDefault="00BB633E" w:rsidP="00501A82">
            <w:pPr>
              <w:rPr>
                <w:rFonts w:cstheme="minorHAnsi"/>
              </w:rPr>
            </w:pPr>
          </w:p>
        </w:tc>
        <w:tc>
          <w:tcPr>
            <w:tcW w:w="848" w:type="pct"/>
            <w:vMerge/>
            <w:vAlign w:val="center"/>
          </w:tcPr>
          <w:p w:rsidR="00BB633E" w:rsidRPr="00B7564C" w:rsidRDefault="00BB633E" w:rsidP="00501A82">
            <w:pPr>
              <w:rPr>
                <w:rFonts w:cstheme="minorHAnsi"/>
              </w:rPr>
            </w:pPr>
          </w:p>
        </w:tc>
        <w:tc>
          <w:tcPr>
            <w:tcW w:w="748" w:type="pct"/>
            <w:vAlign w:val="center"/>
          </w:tcPr>
          <w:p w:rsidR="00BB633E" w:rsidRPr="00B7564C" w:rsidRDefault="00BB633E" w:rsidP="00BB2F6E">
            <w:pPr>
              <w:jc w:val="center"/>
              <w:rPr>
                <w:rFonts w:cstheme="minorHAnsi"/>
              </w:rPr>
            </w:pPr>
            <w:r>
              <w:rPr>
                <w:rFonts w:cstheme="minorHAnsi"/>
              </w:rPr>
              <w:t>Članak 16. Nacrta</w:t>
            </w:r>
          </w:p>
        </w:tc>
        <w:tc>
          <w:tcPr>
            <w:tcW w:w="1495" w:type="pct"/>
            <w:vAlign w:val="center"/>
          </w:tcPr>
          <w:p w:rsidR="00BB633E" w:rsidRPr="003A3FDF" w:rsidRDefault="00BB633E" w:rsidP="00E82320">
            <w:pPr>
              <w:jc w:val="both"/>
              <w:rPr>
                <w:rFonts w:cstheme="minorHAnsi"/>
                <w:highlight w:val="yellow"/>
              </w:rPr>
            </w:pPr>
            <w:r w:rsidRPr="008764D8">
              <w:rPr>
                <w:rFonts w:cstheme="minorHAnsi"/>
              </w:rPr>
              <w:t xml:space="preserve">Predlaže se da </w:t>
            </w:r>
            <w:r w:rsidR="00E82320">
              <w:rPr>
                <w:rFonts w:cstheme="minorHAnsi"/>
              </w:rPr>
              <w:t xml:space="preserve">se </w:t>
            </w:r>
            <w:r w:rsidRPr="008764D8">
              <w:rPr>
                <w:rFonts w:cstheme="minorHAnsi"/>
              </w:rPr>
              <w:t>dežurstvo sudaca organizira i u stalnim službama suda, a ne samo u sjedištu suda radi slabe prometne povezanosti i velike udaljenosti stalne službe od sjedišta suda budući  sudac i zapisničar žive i rade u</w:t>
            </w:r>
            <w:r w:rsidR="00E82320">
              <w:rPr>
                <w:rFonts w:cstheme="minorHAnsi"/>
              </w:rPr>
              <w:t xml:space="preserve"> mjestu</w:t>
            </w:r>
            <w:r w:rsidRPr="008764D8">
              <w:rPr>
                <w:rFonts w:cstheme="minorHAnsi"/>
              </w:rPr>
              <w:t xml:space="preserve"> staln</w:t>
            </w:r>
            <w:r w:rsidR="00E82320">
              <w:rPr>
                <w:rFonts w:cstheme="minorHAnsi"/>
              </w:rPr>
              <w:t>e</w:t>
            </w:r>
            <w:r w:rsidRPr="008764D8">
              <w:rPr>
                <w:rFonts w:cstheme="minorHAnsi"/>
              </w:rPr>
              <w:t xml:space="preserve"> služb</w:t>
            </w:r>
            <w:r w:rsidR="00E82320">
              <w:rPr>
                <w:rFonts w:cstheme="minorHAnsi"/>
              </w:rPr>
              <w:t>e</w:t>
            </w:r>
            <w:r>
              <w:rPr>
                <w:rFonts w:cstheme="minorHAnsi"/>
              </w:rPr>
              <w:t xml:space="preserve"> čime bi se smanjili troškovi za dežurstvo.</w:t>
            </w:r>
          </w:p>
        </w:tc>
        <w:tc>
          <w:tcPr>
            <w:tcW w:w="1622" w:type="pct"/>
          </w:tcPr>
          <w:p w:rsidR="00BB633E" w:rsidRPr="008764D8" w:rsidRDefault="00BB633E" w:rsidP="003A6A67">
            <w:pPr>
              <w:jc w:val="both"/>
              <w:rPr>
                <w:rFonts w:cstheme="minorHAnsi"/>
                <w:b/>
                <w:highlight w:val="yellow"/>
              </w:rPr>
            </w:pPr>
            <w:r w:rsidRPr="008764D8">
              <w:rPr>
                <w:rFonts w:cstheme="minorHAnsi"/>
                <w:b/>
              </w:rPr>
              <w:t xml:space="preserve">Primjedba se ne prihvaća. Naime, dežurstvo u sudu </w:t>
            </w:r>
            <w:r>
              <w:rPr>
                <w:rFonts w:cstheme="minorHAnsi"/>
                <w:b/>
              </w:rPr>
              <w:t>organizira se prema jedinstvenim kriterijima  koje treba zadovoljiti na svim sudovima</w:t>
            </w:r>
            <w:r w:rsidR="00E82320">
              <w:rPr>
                <w:rFonts w:cstheme="minorHAnsi"/>
                <w:b/>
              </w:rPr>
              <w:t xml:space="preserve"> na području Republike Hrvatske</w:t>
            </w:r>
            <w:r>
              <w:rPr>
                <w:rFonts w:cstheme="minorHAnsi"/>
                <w:b/>
              </w:rPr>
              <w:t xml:space="preserve"> te se sagledavaju u cjelini, pri čemu se ne može voditi računa samo o pojedinačnim slučajevima.</w:t>
            </w:r>
            <w:r w:rsidRPr="008764D8">
              <w:rPr>
                <w:rFonts w:cstheme="minorHAnsi"/>
                <w:b/>
              </w:rPr>
              <w:t xml:space="preserve"> </w:t>
            </w:r>
          </w:p>
        </w:tc>
      </w:tr>
      <w:tr w:rsidR="00BB633E" w:rsidRPr="000C6236" w:rsidTr="000D46B5">
        <w:trPr>
          <w:trHeight w:val="1104"/>
        </w:trPr>
        <w:tc>
          <w:tcPr>
            <w:tcW w:w="287" w:type="pct"/>
            <w:vMerge/>
            <w:vAlign w:val="center"/>
          </w:tcPr>
          <w:p w:rsidR="00BB633E" w:rsidRPr="006C44B6" w:rsidRDefault="00BB633E" w:rsidP="00BB2F6E">
            <w:pPr>
              <w:jc w:val="center"/>
              <w:rPr>
                <w:rFonts w:cstheme="minorHAnsi"/>
                <w:b/>
                <w:highlight w:val="yellow"/>
              </w:rPr>
            </w:pPr>
          </w:p>
        </w:tc>
        <w:tc>
          <w:tcPr>
            <w:tcW w:w="848" w:type="pct"/>
            <w:vMerge/>
            <w:vAlign w:val="center"/>
          </w:tcPr>
          <w:p w:rsidR="00BB633E" w:rsidRPr="006C44B6" w:rsidRDefault="00BB633E" w:rsidP="002162D3">
            <w:pPr>
              <w:jc w:val="center"/>
              <w:rPr>
                <w:rFonts w:cstheme="minorHAnsi"/>
                <w:b/>
              </w:rPr>
            </w:pPr>
          </w:p>
        </w:tc>
        <w:tc>
          <w:tcPr>
            <w:tcW w:w="748" w:type="pct"/>
            <w:vAlign w:val="center"/>
          </w:tcPr>
          <w:p w:rsidR="00BB633E" w:rsidRPr="00B7564C" w:rsidRDefault="00BB633E" w:rsidP="00BB2F6E">
            <w:pPr>
              <w:jc w:val="center"/>
              <w:rPr>
                <w:rFonts w:cstheme="minorHAnsi"/>
              </w:rPr>
            </w:pPr>
            <w:r>
              <w:rPr>
                <w:rFonts w:cstheme="minorHAnsi"/>
              </w:rPr>
              <w:t>Članak 91. Sudskog poslovnika</w:t>
            </w:r>
          </w:p>
        </w:tc>
        <w:tc>
          <w:tcPr>
            <w:tcW w:w="1495" w:type="pct"/>
            <w:vAlign w:val="center"/>
          </w:tcPr>
          <w:p w:rsidR="00BB633E" w:rsidRPr="00B7564C" w:rsidRDefault="00BB633E" w:rsidP="00BB633E">
            <w:pPr>
              <w:jc w:val="both"/>
              <w:rPr>
                <w:rFonts w:cstheme="minorHAnsi"/>
              </w:rPr>
            </w:pPr>
            <w:r>
              <w:rPr>
                <w:rFonts w:cstheme="minorHAnsi"/>
              </w:rPr>
              <w:t>Predlaže se dopuniti članak na način da se normira postupak izdavanja uvjerenja da se ne vodi prekršajni postupak.</w:t>
            </w:r>
            <w:r w:rsidRPr="00B7564C">
              <w:rPr>
                <w:rFonts w:cstheme="minorHAnsi"/>
              </w:rPr>
              <w:t xml:space="preserve"> </w:t>
            </w:r>
          </w:p>
        </w:tc>
        <w:tc>
          <w:tcPr>
            <w:tcW w:w="1622" w:type="pct"/>
          </w:tcPr>
          <w:p w:rsidR="00BB633E" w:rsidRPr="00B7564C" w:rsidRDefault="00BB633E" w:rsidP="00E82320">
            <w:pPr>
              <w:jc w:val="both"/>
              <w:rPr>
                <w:rFonts w:cstheme="minorHAnsi"/>
              </w:rPr>
            </w:pPr>
            <w:r>
              <w:rPr>
                <w:rFonts w:cstheme="minorHAnsi"/>
                <w:b/>
              </w:rPr>
              <w:t xml:space="preserve">Primjedba se ne prihvaća. </w:t>
            </w:r>
            <w:r w:rsidR="00E82320" w:rsidRPr="008A146C">
              <w:rPr>
                <w:rFonts w:cstheme="minorHAnsi"/>
                <w:b/>
              </w:rPr>
              <w:t>Upućuje se na gornju argumentaciju vezano za istu primjedbu</w:t>
            </w:r>
            <w:r w:rsidR="00E82320">
              <w:rPr>
                <w:rFonts w:cstheme="minorHAnsi"/>
                <w:b/>
              </w:rPr>
              <w:t>.</w:t>
            </w:r>
          </w:p>
        </w:tc>
      </w:tr>
      <w:tr w:rsidR="00BB633E" w:rsidRPr="000C6236" w:rsidTr="000D46B5">
        <w:trPr>
          <w:trHeight w:val="1104"/>
        </w:trPr>
        <w:tc>
          <w:tcPr>
            <w:tcW w:w="287" w:type="pct"/>
            <w:vMerge/>
            <w:vAlign w:val="center"/>
          </w:tcPr>
          <w:p w:rsidR="00BB633E" w:rsidRPr="00B7564C" w:rsidRDefault="00BB633E" w:rsidP="00496F23">
            <w:pPr>
              <w:rPr>
                <w:rFonts w:cstheme="minorHAnsi"/>
              </w:rPr>
            </w:pPr>
          </w:p>
        </w:tc>
        <w:tc>
          <w:tcPr>
            <w:tcW w:w="848" w:type="pct"/>
            <w:vMerge/>
            <w:vAlign w:val="center"/>
          </w:tcPr>
          <w:p w:rsidR="00BB633E" w:rsidRDefault="00BB633E" w:rsidP="00501A82">
            <w:pPr>
              <w:rPr>
                <w:rFonts w:cstheme="minorHAnsi"/>
              </w:rPr>
            </w:pPr>
          </w:p>
        </w:tc>
        <w:tc>
          <w:tcPr>
            <w:tcW w:w="748" w:type="pct"/>
            <w:vAlign w:val="center"/>
          </w:tcPr>
          <w:p w:rsidR="00BB633E" w:rsidRDefault="00BB633E" w:rsidP="00BB2F6E">
            <w:pPr>
              <w:jc w:val="center"/>
              <w:rPr>
                <w:rFonts w:cstheme="minorHAnsi"/>
              </w:rPr>
            </w:pPr>
            <w:r>
              <w:rPr>
                <w:rFonts w:cstheme="minorHAnsi"/>
              </w:rPr>
              <w:t>Članak 29. Nacrta</w:t>
            </w:r>
          </w:p>
        </w:tc>
        <w:tc>
          <w:tcPr>
            <w:tcW w:w="1495" w:type="pct"/>
            <w:vAlign w:val="center"/>
          </w:tcPr>
          <w:p w:rsidR="00BB633E" w:rsidRDefault="00BB633E" w:rsidP="00A876B5">
            <w:pPr>
              <w:jc w:val="both"/>
              <w:rPr>
                <w:rFonts w:cstheme="minorHAnsi"/>
              </w:rPr>
            </w:pPr>
            <w:r>
              <w:rPr>
                <w:rFonts w:cstheme="minorHAnsi"/>
              </w:rPr>
              <w:t>Predlaže se da se novo osnovani upisnik o izdanim i primljenim potvrdama u svrhu priznanja izvršenja odluka o novčanoj kazni između država članica EU nazove Ikp-eu</w:t>
            </w:r>
            <w:r w:rsidR="00EB75EB">
              <w:rPr>
                <w:rFonts w:cstheme="minorHAnsi"/>
              </w:rPr>
              <w:t>.</w:t>
            </w:r>
          </w:p>
        </w:tc>
        <w:tc>
          <w:tcPr>
            <w:tcW w:w="1622" w:type="pct"/>
          </w:tcPr>
          <w:p w:rsidR="00BB633E" w:rsidRPr="00B7564C" w:rsidRDefault="00BB633E" w:rsidP="00A876B5">
            <w:pPr>
              <w:rPr>
                <w:rFonts w:cstheme="minorHAnsi"/>
                <w:b/>
              </w:rPr>
            </w:pPr>
            <w:r>
              <w:rPr>
                <w:rFonts w:cstheme="minorHAnsi"/>
                <w:b/>
              </w:rPr>
              <w:t>Prijedlog se prihvaća.</w:t>
            </w:r>
          </w:p>
        </w:tc>
      </w:tr>
      <w:tr w:rsidR="004E193F" w:rsidRPr="000C6236" w:rsidTr="000D46B5">
        <w:trPr>
          <w:trHeight w:val="396"/>
        </w:trPr>
        <w:tc>
          <w:tcPr>
            <w:tcW w:w="287" w:type="pct"/>
            <w:vMerge w:val="restart"/>
            <w:vAlign w:val="center"/>
          </w:tcPr>
          <w:p w:rsidR="004E193F" w:rsidRPr="006C44B6" w:rsidRDefault="004E193F" w:rsidP="00491E74">
            <w:pPr>
              <w:rPr>
                <w:rFonts w:cstheme="minorHAnsi"/>
                <w:b/>
              </w:rPr>
            </w:pPr>
            <w:r>
              <w:rPr>
                <w:rFonts w:cstheme="minorHAnsi"/>
                <w:b/>
              </w:rPr>
              <w:t>4.</w:t>
            </w:r>
          </w:p>
          <w:p w:rsidR="004E193F" w:rsidRDefault="004E193F" w:rsidP="00496F23">
            <w:pPr>
              <w:rPr>
                <w:rFonts w:cstheme="minorHAnsi"/>
              </w:rPr>
            </w:pPr>
          </w:p>
          <w:p w:rsidR="004E193F" w:rsidRDefault="004E193F" w:rsidP="00496F23">
            <w:pPr>
              <w:rPr>
                <w:rFonts w:cstheme="minorHAnsi"/>
              </w:rPr>
            </w:pPr>
          </w:p>
          <w:p w:rsidR="004E193F" w:rsidRPr="006C44B6" w:rsidRDefault="004E193F" w:rsidP="00466EA1">
            <w:pPr>
              <w:jc w:val="center"/>
              <w:rPr>
                <w:rFonts w:cstheme="minorHAnsi"/>
                <w:b/>
              </w:rPr>
            </w:pPr>
          </w:p>
        </w:tc>
        <w:tc>
          <w:tcPr>
            <w:tcW w:w="848" w:type="pct"/>
            <w:vMerge w:val="restart"/>
            <w:vAlign w:val="center"/>
          </w:tcPr>
          <w:p w:rsidR="004E193F" w:rsidRPr="006C44B6" w:rsidRDefault="004E193F" w:rsidP="002162D3">
            <w:pPr>
              <w:jc w:val="center"/>
              <w:rPr>
                <w:rFonts w:cstheme="minorHAnsi"/>
                <w:b/>
              </w:rPr>
            </w:pPr>
            <w:r>
              <w:rPr>
                <w:rFonts w:cstheme="minorHAnsi"/>
                <w:b/>
              </w:rPr>
              <w:t>PREKRŠAJNI SUD U NAŠICAMA</w:t>
            </w:r>
          </w:p>
        </w:tc>
        <w:tc>
          <w:tcPr>
            <w:tcW w:w="748" w:type="pct"/>
            <w:vAlign w:val="center"/>
          </w:tcPr>
          <w:p w:rsidR="004E193F" w:rsidRPr="001D18FD" w:rsidRDefault="004E193F" w:rsidP="00BB2F6E">
            <w:pPr>
              <w:jc w:val="center"/>
              <w:rPr>
                <w:rFonts w:cstheme="minorHAnsi"/>
              </w:rPr>
            </w:pPr>
            <w:r>
              <w:rPr>
                <w:rFonts w:cstheme="minorHAnsi"/>
              </w:rPr>
              <w:t>Članak 24. Sudskog poslovnika</w:t>
            </w:r>
          </w:p>
        </w:tc>
        <w:tc>
          <w:tcPr>
            <w:tcW w:w="1495" w:type="pct"/>
            <w:vAlign w:val="center"/>
          </w:tcPr>
          <w:p w:rsidR="004E193F" w:rsidRPr="001D18FD" w:rsidRDefault="004E193F" w:rsidP="00D24C38">
            <w:pPr>
              <w:jc w:val="both"/>
              <w:rPr>
                <w:rFonts w:cstheme="minorHAnsi"/>
              </w:rPr>
            </w:pPr>
            <w:r>
              <w:rPr>
                <w:rFonts w:cstheme="minorHAnsi"/>
              </w:rPr>
              <w:t>Predlaže promjena članka 24. Sudskog poslovnika na način da se pojednostavi postupak izmjene godišnjeg rasporeda poslova kako bi se brže otklonili razlozi zbog kojih je potrebno mijenjati godišnji raspored poslova</w:t>
            </w:r>
            <w:r w:rsidR="00EB75EB">
              <w:rPr>
                <w:rFonts w:cstheme="minorHAnsi"/>
              </w:rPr>
              <w:t>.</w:t>
            </w:r>
          </w:p>
        </w:tc>
        <w:tc>
          <w:tcPr>
            <w:tcW w:w="1622" w:type="pct"/>
          </w:tcPr>
          <w:p w:rsidR="004E193F" w:rsidRPr="00DE2F31" w:rsidRDefault="004E193F" w:rsidP="00E82320">
            <w:pPr>
              <w:jc w:val="both"/>
              <w:rPr>
                <w:rFonts w:cstheme="minorHAnsi"/>
              </w:rPr>
            </w:pPr>
            <w:r>
              <w:rPr>
                <w:rFonts w:cstheme="minorHAnsi"/>
                <w:b/>
              </w:rPr>
              <w:t xml:space="preserve">Prijedlog se ne prihvaća. </w:t>
            </w:r>
            <w:r w:rsidR="00E82320" w:rsidRPr="008A146C">
              <w:rPr>
                <w:rFonts w:cstheme="minorHAnsi"/>
                <w:b/>
              </w:rPr>
              <w:t>Upućuje se na gornju argumentaciju vezano za istu primjedbu</w:t>
            </w:r>
            <w:r w:rsidR="00E82320">
              <w:rPr>
                <w:rFonts w:cstheme="minorHAnsi"/>
                <w:b/>
              </w:rPr>
              <w:t>.</w:t>
            </w:r>
          </w:p>
        </w:tc>
      </w:tr>
      <w:tr w:rsidR="004E193F" w:rsidRPr="000C6236" w:rsidTr="000D46B5">
        <w:trPr>
          <w:trHeight w:val="396"/>
        </w:trPr>
        <w:tc>
          <w:tcPr>
            <w:tcW w:w="287" w:type="pct"/>
            <w:vMerge/>
            <w:vAlign w:val="center"/>
          </w:tcPr>
          <w:p w:rsidR="004E193F" w:rsidRPr="001D18FD" w:rsidRDefault="004E193F" w:rsidP="00466EA1">
            <w:pPr>
              <w:jc w:val="center"/>
              <w:rPr>
                <w:rFonts w:cstheme="minorHAnsi"/>
              </w:rPr>
            </w:pPr>
          </w:p>
        </w:tc>
        <w:tc>
          <w:tcPr>
            <w:tcW w:w="848" w:type="pct"/>
            <w:vMerge/>
            <w:vAlign w:val="center"/>
          </w:tcPr>
          <w:p w:rsidR="004E193F" w:rsidRPr="001D18FD" w:rsidRDefault="004E193F" w:rsidP="00501A82">
            <w:pPr>
              <w:rPr>
                <w:rFonts w:cstheme="minorHAnsi"/>
              </w:rPr>
            </w:pPr>
          </w:p>
        </w:tc>
        <w:tc>
          <w:tcPr>
            <w:tcW w:w="748" w:type="pct"/>
            <w:vAlign w:val="center"/>
          </w:tcPr>
          <w:p w:rsidR="004E193F" w:rsidRPr="001D18FD" w:rsidRDefault="004E193F" w:rsidP="00BB2F6E">
            <w:pPr>
              <w:jc w:val="center"/>
              <w:rPr>
                <w:rFonts w:cstheme="minorHAnsi"/>
              </w:rPr>
            </w:pPr>
            <w:r>
              <w:rPr>
                <w:rFonts w:cstheme="minorHAnsi"/>
              </w:rPr>
              <w:t>Članak 11. Nacrta</w:t>
            </w:r>
          </w:p>
        </w:tc>
        <w:tc>
          <w:tcPr>
            <w:tcW w:w="1495" w:type="pct"/>
            <w:vAlign w:val="center"/>
          </w:tcPr>
          <w:p w:rsidR="004E193F" w:rsidRPr="001D18FD" w:rsidRDefault="004E193F" w:rsidP="000A716F">
            <w:pPr>
              <w:jc w:val="both"/>
              <w:rPr>
                <w:rFonts w:cstheme="minorHAnsi"/>
              </w:rPr>
            </w:pPr>
            <w:r>
              <w:rPr>
                <w:rFonts w:cstheme="minorHAnsi"/>
              </w:rPr>
              <w:t>Predlaže se dodavanje stavka 7. kojim bi se propisalo da će predsjednici Visokog prekršajnog suda RH i Visokog trgovačkog suda RH svaka tri mjeseca održavati zajedničke sastanke s predsjednicima svih prekršajnih odnosno trgovačkih sudova na kojima će se raspraviti i utvrditi da li je došlo do znatnijeg smanjenja ili povećanja broja određene vrste predmeta, potreba da se određenim vrstama predmeta odredi prvenstvo rješavanja kao i da li postoje opravdani razlozi za izmjenama godišnjeg rasporeda poslova prvostupanjskih sudova.</w:t>
            </w:r>
          </w:p>
        </w:tc>
        <w:tc>
          <w:tcPr>
            <w:tcW w:w="1622" w:type="pct"/>
          </w:tcPr>
          <w:p w:rsidR="004E193F" w:rsidRDefault="004E193F" w:rsidP="001D18FD">
            <w:pPr>
              <w:rPr>
                <w:rFonts w:cstheme="minorHAnsi"/>
                <w:b/>
              </w:rPr>
            </w:pPr>
          </w:p>
          <w:p w:rsidR="004E193F" w:rsidRPr="002E7CE5" w:rsidRDefault="004E193F" w:rsidP="001D18FD">
            <w:pPr>
              <w:rPr>
                <w:rFonts w:cstheme="minorHAnsi"/>
              </w:rPr>
            </w:pPr>
            <w:r w:rsidRPr="008A146C">
              <w:rPr>
                <w:rFonts w:cstheme="minorHAnsi"/>
                <w:b/>
              </w:rPr>
              <w:t>Prijedlog se ne prihvaća. Upućuje se na gornju argumentaciju vezano za istu primjedbu</w:t>
            </w:r>
            <w:r w:rsidR="00EB75EB">
              <w:rPr>
                <w:rFonts w:cstheme="minorHAnsi"/>
                <w:b/>
              </w:rPr>
              <w:t>.</w:t>
            </w:r>
          </w:p>
        </w:tc>
      </w:tr>
      <w:tr w:rsidR="004E193F" w:rsidRPr="000C6236" w:rsidTr="000D46B5">
        <w:trPr>
          <w:trHeight w:val="396"/>
        </w:trPr>
        <w:tc>
          <w:tcPr>
            <w:tcW w:w="287" w:type="pct"/>
            <w:vMerge/>
            <w:vAlign w:val="center"/>
          </w:tcPr>
          <w:p w:rsidR="004E193F" w:rsidRPr="001D18FD" w:rsidRDefault="004E193F" w:rsidP="00466EA1">
            <w:pPr>
              <w:jc w:val="center"/>
              <w:rPr>
                <w:rFonts w:cstheme="minorHAnsi"/>
              </w:rPr>
            </w:pPr>
          </w:p>
        </w:tc>
        <w:tc>
          <w:tcPr>
            <w:tcW w:w="848" w:type="pct"/>
            <w:vMerge/>
            <w:vAlign w:val="center"/>
          </w:tcPr>
          <w:p w:rsidR="004E193F" w:rsidRPr="001D18FD" w:rsidRDefault="004E193F" w:rsidP="00501A82">
            <w:pPr>
              <w:rPr>
                <w:rFonts w:cstheme="minorHAnsi"/>
              </w:rPr>
            </w:pPr>
          </w:p>
        </w:tc>
        <w:tc>
          <w:tcPr>
            <w:tcW w:w="748" w:type="pct"/>
            <w:vAlign w:val="center"/>
          </w:tcPr>
          <w:p w:rsidR="004E193F" w:rsidRDefault="004E193F" w:rsidP="00BB2F6E">
            <w:pPr>
              <w:jc w:val="center"/>
              <w:rPr>
                <w:rFonts w:cstheme="minorHAnsi"/>
              </w:rPr>
            </w:pPr>
            <w:r>
              <w:rPr>
                <w:rFonts w:cstheme="minorHAnsi"/>
              </w:rPr>
              <w:t>Članak 27.  stavak 8., 9., 10. i 11. Sudskog poslovnika</w:t>
            </w:r>
          </w:p>
        </w:tc>
        <w:tc>
          <w:tcPr>
            <w:tcW w:w="1495" w:type="pct"/>
            <w:vAlign w:val="center"/>
          </w:tcPr>
          <w:p w:rsidR="004E193F" w:rsidRDefault="004E193F" w:rsidP="006859FB">
            <w:pPr>
              <w:jc w:val="both"/>
              <w:rPr>
                <w:rFonts w:cstheme="minorHAnsi"/>
              </w:rPr>
            </w:pPr>
            <w:r>
              <w:rPr>
                <w:rFonts w:cstheme="minorHAnsi"/>
              </w:rPr>
              <w:t>Stavci 8., 9., 10. i 11. Sudskog poslovnika su u suprotnosti s K</w:t>
            </w:r>
            <w:r w:rsidRPr="00D874C6">
              <w:rPr>
                <w:rFonts w:cstheme="minorHAnsi"/>
              </w:rPr>
              <w:t>onačnim prijedlogom Zakona o izmjenama i dopunama Zakona o sudo</w:t>
            </w:r>
            <w:r>
              <w:rPr>
                <w:rFonts w:cstheme="minorHAnsi"/>
              </w:rPr>
              <w:t>vima.</w:t>
            </w:r>
          </w:p>
          <w:p w:rsidR="004E193F" w:rsidRDefault="004E193F" w:rsidP="000A716F">
            <w:pPr>
              <w:jc w:val="both"/>
              <w:rPr>
                <w:rFonts w:cstheme="minorHAnsi"/>
              </w:rPr>
            </w:pPr>
          </w:p>
        </w:tc>
        <w:tc>
          <w:tcPr>
            <w:tcW w:w="1622" w:type="pct"/>
          </w:tcPr>
          <w:p w:rsidR="004E193F" w:rsidRDefault="004E193F" w:rsidP="001D18FD">
            <w:pPr>
              <w:rPr>
                <w:rFonts w:cstheme="minorHAnsi"/>
                <w:b/>
              </w:rPr>
            </w:pPr>
            <w:r>
              <w:rPr>
                <w:rFonts w:cstheme="minorHAnsi"/>
                <w:b/>
              </w:rPr>
              <w:t>Primjedba</w:t>
            </w:r>
            <w:r w:rsidRPr="008A146C">
              <w:rPr>
                <w:rFonts w:cstheme="minorHAnsi"/>
                <w:b/>
              </w:rPr>
              <w:t xml:space="preserve"> se ne prihvaća. Upućuje se na gornju argumentaciju vezano za istu primjedbu</w:t>
            </w:r>
            <w:r w:rsidR="00EB75EB">
              <w:rPr>
                <w:rFonts w:cstheme="minorHAnsi"/>
                <w:b/>
              </w:rPr>
              <w:t>.</w:t>
            </w:r>
          </w:p>
        </w:tc>
      </w:tr>
      <w:tr w:rsidR="004E193F" w:rsidRPr="000C6236" w:rsidTr="000D46B5">
        <w:trPr>
          <w:trHeight w:val="396"/>
        </w:trPr>
        <w:tc>
          <w:tcPr>
            <w:tcW w:w="287" w:type="pct"/>
            <w:vMerge/>
            <w:vAlign w:val="center"/>
          </w:tcPr>
          <w:p w:rsidR="004E193F" w:rsidRPr="006C44B6" w:rsidRDefault="004E193F" w:rsidP="00466EA1">
            <w:pPr>
              <w:jc w:val="center"/>
              <w:rPr>
                <w:rFonts w:cstheme="minorHAnsi"/>
                <w:b/>
              </w:rPr>
            </w:pPr>
          </w:p>
        </w:tc>
        <w:tc>
          <w:tcPr>
            <w:tcW w:w="848" w:type="pct"/>
            <w:vMerge/>
            <w:vAlign w:val="center"/>
          </w:tcPr>
          <w:p w:rsidR="004E193F" w:rsidRPr="006C44B6" w:rsidRDefault="004E193F" w:rsidP="000A716F">
            <w:pPr>
              <w:jc w:val="center"/>
              <w:rPr>
                <w:rFonts w:cstheme="minorHAnsi"/>
                <w:b/>
              </w:rPr>
            </w:pPr>
          </w:p>
        </w:tc>
        <w:tc>
          <w:tcPr>
            <w:tcW w:w="748" w:type="pct"/>
            <w:vAlign w:val="center"/>
          </w:tcPr>
          <w:p w:rsidR="004E193F" w:rsidRDefault="004E193F" w:rsidP="00BB2F6E">
            <w:pPr>
              <w:jc w:val="center"/>
              <w:rPr>
                <w:rFonts w:cstheme="minorHAnsi"/>
              </w:rPr>
            </w:pPr>
            <w:r>
              <w:rPr>
                <w:rFonts w:cstheme="minorHAnsi"/>
              </w:rPr>
              <w:t>Članak 28. stavak 1. Sudskog poslovnika</w:t>
            </w:r>
          </w:p>
        </w:tc>
        <w:tc>
          <w:tcPr>
            <w:tcW w:w="1495" w:type="pct"/>
            <w:vAlign w:val="center"/>
          </w:tcPr>
          <w:p w:rsidR="004E193F" w:rsidRDefault="004E193F" w:rsidP="00C810C5">
            <w:pPr>
              <w:jc w:val="both"/>
              <w:rPr>
                <w:rFonts w:cstheme="minorHAnsi"/>
              </w:rPr>
            </w:pPr>
            <w:r>
              <w:rPr>
                <w:rFonts w:cstheme="minorHAnsi"/>
              </w:rPr>
              <w:t>Članak 28. stavak 1. Sudskog poslovnika u suprotnosti je s konačnim prijedlogom Zakona o izmjenama i dopunama Zakona o sudovima.</w:t>
            </w:r>
          </w:p>
        </w:tc>
        <w:tc>
          <w:tcPr>
            <w:tcW w:w="1622" w:type="pct"/>
          </w:tcPr>
          <w:p w:rsidR="004E193F" w:rsidRDefault="004E193F" w:rsidP="00E82320">
            <w:pPr>
              <w:jc w:val="both"/>
              <w:rPr>
                <w:rFonts w:cstheme="minorHAnsi"/>
                <w:b/>
              </w:rPr>
            </w:pPr>
            <w:r>
              <w:rPr>
                <w:rFonts w:cstheme="minorHAnsi"/>
                <w:b/>
              </w:rPr>
              <w:t xml:space="preserve">Primjedba se ne prihvaća. </w:t>
            </w:r>
            <w:r w:rsidR="00E82320" w:rsidRPr="008A146C">
              <w:rPr>
                <w:rFonts w:cstheme="minorHAnsi"/>
                <w:b/>
              </w:rPr>
              <w:t>Upućuje se na gornju argumentaciju vezano za istu primjedbu</w:t>
            </w:r>
            <w:r w:rsidR="00E82320">
              <w:rPr>
                <w:rFonts w:cstheme="minorHAnsi"/>
                <w:b/>
              </w:rPr>
              <w:t>.</w:t>
            </w:r>
          </w:p>
        </w:tc>
      </w:tr>
      <w:tr w:rsidR="004E193F" w:rsidRPr="000C6236" w:rsidTr="000D46B5">
        <w:trPr>
          <w:trHeight w:val="396"/>
        </w:trPr>
        <w:tc>
          <w:tcPr>
            <w:tcW w:w="287" w:type="pct"/>
            <w:vMerge/>
            <w:vAlign w:val="center"/>
          </w:tcPr>
          <w:p w:rsidR="004E193F" w:rsidRPr="001D18FD" w:rsidRDefault="004E193F" w:rsidP="00466EA1">
            <w:pPr>
              <w:jc w:val="center"/>
              <w:rPr>
                <w:rFonts w:cstheme="minorHAnsi"/>
              </w:rPr>
            </w:pPr>
          </w:p>
        </w:tc>
        <w:tc>
          <w:tcPr>
            <w:tcW w:w="848" w:type="pct"/>
            <w:vMerge/>
            <w:vAlign w:val="center"/>
          </w:tcPr>
          <w:p w:rsidR="004E193F" w:rsidRPr="001D18FD" w:rsidRDefault="004E193F" w:rsidP="00501A82">
            <w:pPr>
              <w:rPr>
                <w:rFonts w:cstheme="minorHAnsi"/>
              </w:rPr>
            </w:pPr>
          </w:p>
        </w:tc>
        <w:tc>
          <w:tcPr>
            <w:tcW w:w="748" w:type="pct"/>
            <w:vAlign w:val="center"/>
          </w:tcPr>
          <w:p w:rsidR="004E193F" w:rsidRDefault="004E193F" w:rsidP="00BB2F6E">
            <w:pPr>
              <w:jc w:val="center"/>
              <w:rPr>
                <w:rFonts w:cstheme="minorHAnsi"/>
              </w:rPr>
            </w:pPr>
            <w:r>
              <w:rPr>
                <w:rFonts w:cstheme="minorHAnsi"/>
              </w:rPr>
              <w:t>Članak 16. Nacrta</w:t>
            </w:r>
          </w:p>
        </w:tc>
        <w:tc>
          <w:tcPr>
            <w:tcW w:w="1495" w:type="pct"/>
            <w:vAlign w:val="center"/>
          </w:tcPr>
          <w:p w:rsidR="004E193F" w:rsidRDefault="004E193F" w:rsidP="00A25B12">
            <w:pPr>
              <w:jc w:val="both"/>
              <w:rPr>
                <w:rFonts w:cstheme="minorHAnsi"/>
              </w:rPr>
            </w:pPr>
            <w:r w:rsidRPr="008764D8">
              <w:rPr>
                <w:rFonts w:cstheme="minorHAnsi"/>
              </w:rPr>
              <w:t>Predlaže se da dežurstvo sudaca organizira i u stalnim službama suda, a ne samo u sjedištu suda radi slabe prometne povezanosti i velike udaljenosti stalne službe od sjedišta suda budući  sudac i zapisničar žive i rade u stalnoj službi</w:t>
            </w:r>
            <w:r>
              <w:rPr>
                <w:rFonts w:cstheme="minorHAnsi"/>
              </w:rPr>
              <w:t xml:space="preserve"> čime bi se smanjili troškovi za dežurstvo</w:t>
            </w:r>
            <w:r w:rsidR="00EB75EB">
              <w:rPr>
                <w:rFonts w:cstheme="minorHAnsi"/>
              </w:rPr>
              <w:t>.</w:t>
            </w:r>
          </w:p>
        </w:tc>
        <w:tc>
          <w:tcPr>
            <w:tcW w:w="1622" w:type="pct"/>
          </w:tcPr>
          <w:p w:rsidR="004E193F" w:rsidRDefault="004E193F" w:rsidP="00010D21">
            <w:pPr>
              <w:jc w:val="both"/>
              <w:rPr>
                <w:rFonts w:cstheme="minorHAnsi"/>
                <w:b/>
              </w:rPr>
            </w:pPr>
            <w:r w:rsidRPr="008764D8">
              <w:rPr>
                <w:rFonts w:cstheme="minorHAnsi"/>
                <w:b/>
              </w:rPr>
              <w:t>Primjedba se ne prihvaća</w:t>
            </w:r>
            <w:r w:rsidR="00010D21">
              <w:rPr>
                <w:rFonts w:cstheme="minorHAnsi"/>
                <w:b/>
              </w:rPr>
              <w:t>.</w:t>
            </w:r>
            <w:r w:rsidR="00010D21" w:rsidRPr="008A146C">
              <w:rPr>
                <w:rFonts w:cstheme="minorHAnsi"/>
                <w:b/>
              </w:rPr>
              <w:t xml:space="preserve"> Upućuje se na gornju argumentaciju vezano za istu primjedbu</w:t>
            </w:r>
            <w:r w:rsidR="00010D21">
              <w:rPr>
                <w:rFonts w:cstheme="minorHAnsi"/>
                <w:b/>
              </w:rPr>
              <w:t>.</w:t>
            </w:r>
          </w:p>
        </w:tc>
      </w:tr>
      <w:tr w:rsidR="004E193F" w:rsidRPr="000C6236" w:rsidTr="000D46B5">
        <w:trPr>
          <w:trHeight w:val="396"/>
        </w:trPr>
        <w:tc>
          <w:tcPr>
            <w:tcW w:w="287" w:type="pct"/>
            <w:vMerge/>
            <w:vAlign w:val="center"/>
          </w:tcPr>
          <w:p w:rsidR="004E193F" w:rsidRPr="001D18FD" w:rsidRDefault="004E193F" w:rsidP="00466EA1">
            <w:pPr>
              <w:jc w:val="center"/>
              <w:rPr>
                <w:rFonts w:cstheme="minorHAnsi"/>
              </w:rPr>
            </w:pPr>
          </w:p>
        </w:tc>
        <w:tc>
          <w:tcPr>
            <w:tcW w:w="848" w:type="pct"/>
            <w:vMerge/>
            <w:vAlign w:val="center"/>
          </w:tcPr>
          <w:p w:rsidR="004E193F" w:rsidRPr="001D18FD" w:rsidRDefault="004E193F" w:rsidP="00501A82">
            <w:pPr>
              <w:rPr>
                <w:rFonts w:cstheme="minorHAnsi"/>
              </w:rPr>
            </w:pPr>
          </w:p>
        </w:tc>
        <w:tc>
          <w:tcPr>
            <w:tcW w:w="748" w:type="pct"/>
            <w:vAlign w:val="center"/>
          </w:tcPr>
          <w:p w:rsidR="004E193F" w:rsidRDefault="004E193F" w:rsidP="00BB2F6E">
            <w:pPr>
              <w:jc w:val="center"/>
              <w:rPr>
                <w:rFonts w:cstheme="minorHAnsi"/>
              </w:rPr>
            </w:pPr>
            <w:r>
              <w:rPr>
                <w:rFonts w:cstheme="minorHAnsi"/>
              </w:rPr>
              <w:t>Članak 91. Sudskog poslovnika</w:t>
            </w:r>
          </w:p>
        </w:tc>
        <w:tc>
          <w:tcPr>
            <w:tcW w:w="1495" w:type="pct"/>
            <w:vAlign w:val="center"/>
          </w:tcPr>
          <w:p w:rsidR="004E193F" w:rsidRPr="00B7564C" w:rsidRDefault="004E193F" w:rsidP="00C810C5">
            <w:pPr>
              <w:jc w:val="both"/>
              <w:rPr>
                <w:rFonts w:cstheme="minorHAnsi"/>
              </w:rPr>
            </w:pPr>
            <w:r>
              <w:rPr>
                <w:rFonts w:cstheme="minorHAnsi"/>
              </w:rPr>
              <w:t>Predlaže se dopuniti članak na način da se normira postupak izdavanja uvjerenja da se ne vodi prekršajni postupak.</w:t>
            </w:r>
            <w:r w:rsidRPr="00B7564C">
              <w:rPr>
                <w:rFonts w:cstheme="minorHAnsi"/>
              </w:rPr>
              <w:t xml:space="preserve"> </w:t>
            </w:r>
          </w:p>
        </w:tc>
        <w:tc>
          <w:tcPr>
            <w:tcW w:w="1622" w:type="pct"/>
          </w:tcPr>
          <w:p w:rsidR="004E193F" w:rsidRDefault="004E193F" w:rsidP="001D18FD">
            <w:pPr>
              <w:rPr>
                <w:rFonts w:cstheme="minorHAnsi"/>
                <w:b/>
              </w:rPr>
            </w:pPr>
            <w:r w:rsidRPr="008A146C">
              <w:rPr>
                <w:rFonts w:cstheme="minorHAnsi"/>
                <w:b/>
              </w:rPr>
              <w:t>Prijedlog se ne prihvaća. Upućuje se na gornju argumentaciju vezano za istu primjedbu</w:t>
            </w:r>
            <w:r w:rsidR="00EB75EB">
              <w:rPr>
                <w:rFonts w:cstheme="minorHAnsi"/>
                <w:b/>
              </w:rPr>
              <w:t>.</w:t>
            </w:r>
          </w:p>
        </w:tc>
      </w:tr>
      <w:tr w:rsidR="004E193F" w:rsidRPr="000C6236" w:rsidTr="000D46B5">
        <w:trPr>
          <w:trHeight w:val="396"/>
        </w:trPr>
        <w:tc>
          <w:tcPr>
            <w:tcW w:w="287" w:type="pct"/>
            <w:vMerge/>
            <w:vAlign w:val="center"/>
          </w:tcPr>
          <w:p w:rsidR="004E193F" w:rsidRPr="006C44B6" w:rsidRDefault="004E193F" w:rsidP="00466EA1">
            <w:pPr>
              <w:jc w:val="center"/>
              <w:rPr>
                <w:rFonts w:cstheme="minorHAnsi"/>
                <w:b/>
              </w:rPr>
            </w:pPr>
          </w:p>
        </w:tc>
        <w:tc>
          <w:tcPr>
            <w:tcW w:w="848" w:type="pct"/>
            <w:vMerge/>
            <w:vAlign w:val="center"/>
          </w:tcPr>
          <w:p w:rsidR="004E193F" w:rsidRPr="006C44B6" w:rsidRDefault="004E193F" w:rsidP="00466EA1">
            <w:pPr>
              <w:jc w:val="center"/>
              <w:rPr>
                <w:rFonts w:cstheme="minorHAnsi"/>
                <w:b/>
              </w:rPr>
            </w:pPr>
          </w:p>
        </w:tc>
        <w:tc>
          <w:tcPr>
            <w:tcW w:w="748" w:type="pct"/>
            <w:vAlign w:val="center"/>
          </w:tcPr>
          <w:p w:rsidR="004E193F" w:rsidRDefault="004E193F" w:rsidP="00BB2F6E">
            <w:pPr>
              <w:jc w:val="center"/>
              <w:rPr>
                <w:rFonts w:cstheme="minorHAnsi"/>
              </w:rPr>
            </w:pPr>
            <w:r>
              <w:rPr>
                <w:rFonts w:cstheme="minorHAnsi"/>
              </w:rPr>
              <w:t>Članak 29. Nacrta</w:t>
            </w:r>
          </w:p>
        </w:tc>
        <w:tc>
          <w:tcPr>
            <w:tcW w:w="1495" w:type="pct"/>
            <w:vAlign w:val="center"/>
          </w:tcPr>
          <w:p w:rsidR="004E193F" w:rsidRDefault="004E193F" w:rsidP="00C810C5">
            <w:pPr>
              <w:jc w:val="both"/>
              <w:rPr>
                <w:rFonts w:cstheme="minorHAnsi"/>
              </w:rPr>
            </w:pPr>
            <w:r>
              <w:rPr>
                <w:rFonts w:cstheme="minorHAnsi"/>
              </w:rPr>
              <w:t>Predlaže se da se novo osnovani upisnik o izdanim i primljenim potvrdama u svrhu priznanja izvršenja odluka o novčanoj kazni između država članica EU nazove Ikp-eu</w:t>
            </w:r>
            <w:r w:rsidR="00EB75EB">
              <w:rPr>
                <w:rFonts w:cstheme="minorHAnsi"/>
              </w:rPr>
              <w:t>.</w:t>
            </w:r>
          </w:p>
        </w:tc>
        <w:tc>
          <w:tcPr>
            <w:tcW w:w="1622" w:type="pct"/>
          </w:tcPr>
          <w:p w:rsidR="004E193F" w:rsidRDefault="004E193F" w:rsidP="001D18FD">
            <w:pPr>
              <w:rPr>
                <w:rFonts w:cstheme="minorHAnsi"/>
                <w:b/>
              </w:rPr>
            </w:pPr>
            <w:r>
              <w:rPr>
                <w:rFonts w:cstheme="minorHAnsi"/>
                <w:b/>
              </w:rPr>
              <w:t>Prijedlog se prihvaća.</w:t>
            </w:r>
          </w:p>
        </w:tc>
      </w:tr>
      <w:tr w:rsidR="00D30C53" w:rsidRPr="000C6236" w:rsidTr="000D46B5">
        <w:trPr>
          <w:trHeight w:val="396"/>
        </w:trPr>
        <w:tc>
          <w:tcPr>
            <w:tcW w:w="287" w:type="pct"/>
            <w:vMerge w:val="restart"/>
            <w:vAlign w:val="center"/>
          </w:tcPr>
          <w:p w:rsidR="00D30C53" w:rsidRPr="006C44B6" w:rsidRDefault="00D30C53" w:rsidP="00466EA1">
            <w:pPr>
              <w:jc w:val="center"/>
              <w:rPr>
                <w:rFonts w:cstheme="minorHAnsi"/>
                <w:b/>
              </w:rPr>
            </w:pPr>
            <w:r>
              <w:rPr>
                <w:rFonts w:cstheme="minorHAnsi"/>
                <w:b/>
              </w:rPr>
              <w:t>5.</w:t>
            </w:r>
          </w:p>
        </w:tc>
        <w:tc>
          <w:tcPr>
            <w:tcW w:w="848" w:type="pct"/>
            <w:vMerge w:val="restart"/>
            <w:vAlign w:val="center"/>
          </w:tcPr>
          <w:p w:rsidR="00D30C53" w:rsidRPr="006C44B6" w:rsidRDefault="00D30C53" w:rsidP="00466EA1">
            <w:pPr>
              <w:jc w:val="center"/>
              <w:rPr>
                <w:rFonts w:cstheme="minorHAnsi"/>
                <w:b/>
              </w:rPr>
            </w:pPr>
            <w:r>
              <w:rPr>
                <w:rFonts w:cstheme="minorHAnsi"/>
                <w:b/>
              </w:rPr>
              <w:t>PREKRŠAJNI SUD U ZAGREBU</w:t>
            </w:r>
          </w:p>
        </w:tc>
        <w:tc>
          <w:tcPr>
            <w:tcW w:w="748" w:type="pct"/>
            <w:vAlign w:val="center"/>
          </w:tcPr>
          <w:p w:rsidR="00D30C53" w:rsidRDefault="00D30C53" w:rsidP="00BB2F6E">
            <w:pPr>
              <w:jc w:val="center"/>
              <w:rPr>
                <w:rFonts w:cstheme="minorHAnsi"/>
              </w:rPr>
            </w:pPr>
            <w:r>
              <w:rPr>
                <w:rFonts w:cstheme="minorHAnsi"/>
              </w:rPr>
              <w:t>Članak 4. Nacrta</w:t>
            </w:r>
          </w:p>
        </w:tc>
        <w:tc>
          <w:tcPr>
            <w:tcW w:w="1495" w:type="pct"/>
            <w:vAlign w:val="center"/>
          </w:tcPr>
          <w:p w:rsidR="00D30C53" w:rsidRDefault="00D30C53" w:rsidP="00C810C5">
            <w:pPr>
              <w:jc w:val="both"/>
              <w:rPr>
                <w:rFonts w:cstheme="minorHAnsi"/>
              </w:rPr>
            </w:pPr>
            <w:r>
              <w:rPr>
                <w:rFonts w:cstheme="minorHAnsi"/>
              </w:rPr>
              <w:t>Predlaže se u članku 6. Sudskog poslovnika zadržati zamjenika predsjednika suda kao osobu koja mu pomaže u obavljanju poslova sudske uprave.</w:t>
            </w:r>
          </w:p>
        </w:tc>
        <w:tc>
          <w:tcPr>
            <w:tcW w:w="1622" w:type="pct"/>
          </w:tcPr>
          <w:p w:rsidR="00D30C53" w:rsidRDefault="00D30C53" w:rsidP="00010D21">
            <w:pPr>
              <w:jc w:val="both"/>
              <w:rPr>
                <w:rFonts w:cstheme="minorHAnsi"/>
                <w:b/>
              </w:rPr>
            </w:pPr>
            <w:r>
              <w:rPr>
                <w:rFonts w:cstheme="minorHAnsi"/>
                <w:b/>
              </w:rPr>
              <w:t xml:space="preserve">Prijedlog se ne prihvaća. </w:t>
            </w:r>
            <w:r w:rsidR="00010D21" w:rsidRPr="008A146C">
              <w:rPr>
                <w:rFonts w:cstheme="minorHAnsi"/>
                <w:b/>
              </w:rPr>
              <w:t>Upućuje se na gornju argumentaciju vezano za istu primjedbu</w:t>
            </w:r>
            <w:r w:rsidR="00010D21">
              <w:rPr>
                <w:rFonts w:cstheme="minorHAnsi"/>
                <w:b/>
              </w:rPr>
              <w:t>.</w:t>
            </w:r>
          </w:p>
        </w:tc>
      </w:tr>
      <w:tr w:rsidR="00D30C53" w:rsidRPr="000C6236" w:rsidTr="000D46B5">
        <w:trPr>
          <w:trHeight w:val="396"/>
        </w:trPr>
        <w:tc>
          <w:tcPr>
            <w:tcW w:w="287" w:type="pct"/>
            <w:vMerge/>
            <w:vAlign w:val="center"/>
          </w:tcPr>
          <w:p w:rsidR="00D30C53" w:rsidRDefault="00D30C53" w:rsidP="00466EA1">
            <w:pPr>
              <w:jc w:val="center"/>
              <w:rPr>
                <w:rFonts w:cstheme="minorHAnsi"/>
                <w:b/>
              </w:rPr>
            </w:pPr>
          </w:p>
        </w:tc>
        <w:tc>
          <w:tcPr>
            <w:tcW w:w="848" w:type="pct"/>
            <w:vMerge/>
            <w:vAlign w:val="center"/>
          </w:tcPr>
          <w:p w:rsidR="00D30C53" w:rsidRDefault="00D30C53" w:rsidP="00466EA1">
            <w:pPr>
              <w:jc w:val="center"/>
              <w:rPr>
                <w:rFonts w:cstheme="minorHAnsi"/>
                <w:b/>
              </w:rPr>
            </w:pPr>
          </w:p>
        </w:tc>
        <w:tc>
          <w:tcPr>
            <w:tcW w:w="748" w:type="pct"/>
            <w:vAlign w:val="center"/>
          </w:tcPr>
          <w:p w:rsidR="00D30C53" w:rsidRDefault="00D30C53" w:rsidP="00BB2F6E">
            <w:pPr>
              <w:jc w:val="center"/>
              <w:rPr>
                <w:rFonts w:cstheme="minorHAnsi"/>
              </w:rPr>
            </w:pPr>
            <w:r>
              <w:rPr>
                <w:rFonts w:cstheme="minorHAnsi"/>
              </w:rPr>
              <w:t>Članak 18. Nacrta</w:t>
            </w:r>
          </w:p>
        </w:tc>
        <w:tc>
          <w:tcPr>
            <w:tcW w:w="1495" w:type="pct"/>
            <w:vAlign w:val="center"/>
          </w:tcPr>
          <w:p w:rsidR="00D30C53" w:rsidRDefault="00D30C53" w:rsidP="00C810C5">
            <w:pPr>
              <w:jc w:val="both"/>
              <w:rPr>
                <w:rFonts w:cstheme="minorHAnsi"/>
              </w:rPr>
            </w:pPr>
            <w:r>
              <w:rPr>
                <w:rFonts w:cstheme="minorHAnsi"/>
              </w:rPr>
              <w:t>Potrebno je razmotriti pisanje zaglavlja u gornjem lijevom uglu na presudama i rješenjima kojima se dovršava postupak.</w:t>
            </w:r>
          </w:p>
        </w:tc>
        <w:tc>
          <w:tcPr>
            <w:tcW w:w="1622" w:type="pct"/>
          </w:tcPr>
          <w:p w:rsidR="00D30C53" w:rsidRDefault="00D30C53" w:rsidP="002047CE">
            <w:pPr>
              <w:jc w:val="both"/>
              <w:rPr>
                <w:rFonts w:cstheme="minorHAnsi"/>
                <w:b/>
              </w:rPr>
            </w:pPr>
            <w:r>
              <w:rPr>
                <w:rFonts w:cstheme="minorHAnsi"/>
                <w:b/>
              </w:rPr>
              <w:t>Prijedlog se ne prihvaća. Naime, tekst zaglavlja se ne može poistovjećivati sa tekstom uvoda odluke.</w:t>
            </w:r>
          </w:p>
        </w:tc>
      </w:tr>
      <w:tr w:rsidR="00D30C53" w:rsidRPr="000C6236" w:rsidTr="000D46B5">
        <w:trPr>
          <w:trHeight w:val="396"/>
        </w:trPr>
        <w:tc>
          <w:tcPr>
            <w:tcW w:w="287" w:type="pct"/>
            <w:vAlign w:val="center"/>
          </w:tcPr>
          <w:p w:rsidR="00D30C53" w:rsidRDefault="00D30C53" w:rsidP="00466EA1">
            <w:pPr>
              <w:jc w:val="center"/>
              <w:rPr>
                <w:rFonts w:cstheme="minorHAnsi"/>
                <w:b/>
              </w:rPr>
            </w:pPr>
            <w:r>
              <w:rPr>
                <w:rFonts w:cstheme="minorHAnsi"/>
                <w:b/>
              </w:rPr>
              <w:t xml:space="preserve">6. </w:t>
            </w:r>
          </w:p>
        </w:tc>
        <w:tc>
          <w:tcPr>
            <w:tcW w:w="848" w:type="pct"/>
            <w:vAlign w:val="center"/>
          </w:tcPr>
          <w:p w:rsidR="00D30C53" w:rsidRDefault="00D30C53" w:rsidP="00466EA1">
            <w:pPr>
              <w:jc w:val="center"/>
              <w:rPr>
                <w:rFonts w:cstheme="minorHAnsi"/>
                <w:b/>
              </w:rPr>
            </w:pPr>
            <w:r>
              <w:rPr>
                <w:rFonts w:cstheme="minorHAnsi"/>
                <w:b/>
              </w:rPr>
              <w:t>PREKRŠAJNI SUD U POŽEGI</w:t>
            </w:r>
          </w:p>
        </w:tc>
        <w:tc>
          <w:tcPr>
            <w:tcW w:w="748" w:type="pct"/>
            <w:vAlign w:val="center"/>
          </w:tcPr>
          <w:p w:rsidR="00D30C53" w:rsidRDefault="00D30C53" w:rsidP="00BB2F6E">
            <w:pPr>
              <w:jc w:val="center"/>
              <w:rPr>
                <w:rFonts w:cstheme="minorHAnsi"/>
              </w:rPr>
            </w:pPr>
            <w:r>
              <w:rPr>
                <w:rFonts w:cstheme="minorHAnsi"/>
              </w:rPr>
              <w:t>Članak 4. Nacrta</w:t>
            </w:r>
          </w:p>
        </w:tc>
        <w:tc>
          <w:tcPr>
            <w:tcW w:w="1495" w:type="pct"/>
            <w:vAlign w:val="center"/>
          </w:tcPr>
          <w:p w:rsidR="00D30C53" w:rsidRDefault="00D30C53" w:rsidP="00C810C5">
            <w:pPr>
              <w:jc w:val="both"/>
              <w:rPr>
                <w:rFonts w:cstheme="minorHAnsi"/>
              </w:rPr>
            </w:pPr>
            <w:r>
              <w:rPr>
                <w:rFonts w:cstheme="minorHAnsi"/>
              </w:rPr>
              <w:t>Predlaže se definirati naziv radnog mjesta „službenika kojeg odredi predsjednik suda godišnjim rasporedom“.</w:t>
            </w:r>
          </w:p>
        </w:tc>
        <w:tc>
          <w:tcPr>
            <w:tcW w:w="1622" w:type="pct"/>
          </w:tcPr>
          <w:p w:rsidR="00D30C53" w:rsidRDefault="00D30C53" w:rsidP="00010D21">
            <w:pPr>
              <w:jc w:val="both"/>
              <w:rPr>
                <w:rFonts w:cstheme="minorHAnsi"/>
                <w:b/>
              </w:rPr>
            </w:pPr>
            <w:r>
              <w:rPr>
                <w:rFonts w:cstheme="minorHAnsi"/>
                <w:b/>
              </w:rPr>
              <w:t>Prijedlog se ne prihvaća.</w:t>
            </w:r>
            <w:r w:rsidR="00237A82">
              <w:rPr>
                <w:rFonts w:cstheme="minorHAnsi"/>
                <w:b/>
              </w:rPr>
              <w:t xml:space="preserve"> </w:t>
            </w:r>
            <w:r w:rsidR="00010D21" w:rsidRPr="008A146C">
              <w:rPr>
                <w:rFonts w:cstheme="minorHAnsi"/>
                <w:b/>
              </w:rPr>
              <w:t>Upućuje se na gornju argumentaciju vezano za istu primjedbu</w:t>
            </w:r>
            <w:r w:rsidR="00010D21">
              <w:rPr>
                <w:rFonts w:cstheme="minorHAnsi"/>
                <w:b/>
              </w:rPr>
              <w:t>.</w:t>
            </w:r>
          </w:p>
        </w:tc>
      </w:tr>
      <w:tr w:rsidR="00237A82" w:rsidRPr="000C6236" w:rsidTr="000D46B5">
        <w:trPr>
          <w:trHeight w:val="396"/>
        </w:trPr>
        <w:tc>
          <w:tcPr>
            <w:tcW w:w="287" w:type="pct"/>
            <w:vAlign w:val="center"/>
          </w:tcPr>
          <w:p w:rsidR="00237A82" w:rsidRDefault="00237A82" w:rsidP="00466EA1">
            <w:pPr>
              <w:jc w:val="center"/>
              <w:rPr>
                <w:rFonts w:cstheme="minorHAnsi"/>
                <w:b/>
              </w:rPr>
            </w:pPr>
            <w:r>
              <w:rPr>
                <w:rFonts w:cstheme="minorHAnsi"/>
                <w:b/>
              </w:rPr>
              <w:t>7.</w:t>
            </w:r>
          </w:p>
        </w:tc>
        <w:tc>
          <w:tcPr>
            <w:tcW w:w="848" w:type="pct"/>
            <w:vAlign w:val="center"/>
          </w:tcPr>
          <w:p w:rsidR="00237A82" w:rsidRPr="00517ABD" w:rsidRDefault="00237A82" w:rsidP="00466EA1">
            <w:pPr>
              <w:jc w:val="center"/>
              <w:rPr>
                <w:rFonts w:cstheme="minorHAnsi"/>
                <w:b/>
                <w:highlight w:val="yellow"/>
              </w:rPr>
            </w:pPr>
            <w:r w:rsidRPr="00F02C5C">
              <w:rPr>
                <w:rFonts w:cstheme="minorHAnsi"/>
                <w:b/>
              </w:rPr>
              <w:t>UPRAVNI SUD U RIJECI</w:t>
            </w:r>
          </w:p>
        </w:tc>
        <w:tc>
          <w:tcPr>
            <w:tcW w:w="748" w:type="pct"/>
            <w:vAlign w:val="center"/>
          </w:tcPr>
          <w:p w:rsidR="00237A82" w:rsidRPr="00517ABD" w:rsidRDefault="00237A82" w:rsidP="00BB2F6E">
            <w:pPr>
              <w:jc w:val="center"/>
              <w:rPr>
                <w:rFonts w:cstheme="minorHAnsi"/>
                <w:highlight w:val="yellow"/>
              </w:rPr>
            </w:pPr>
            <w:r w:rsidRPr="00F02C5C">
              <w:rPr>
                <w:rFonts w:cstheme="minorHAnsi"/>
              </w:rPr>
              <w:t>Obrazac</w:t>
            </w:r>
            <w:r w:rsidR="00F52EF2" w:rsidRPr="00F02C5C">
              <w:rPr>
                <w:rFonts w:cstheme="minorHAnsi"/>
              </w:rPr>
              <w:t xml:space="preserve"> iz članka 33. Zakona o sudovima</w:t>
            </w:r>
          </w:p>
        </w:tc>
        <w:tc>
          <w:tcPr>
            <w:tcW w:w="1495" w:type="pct"/>
            <w:vAlign w:val="center"/>
          </w:tcPr>
          <w:p w:rsidR="00F52EF2" w:rsidRPr="00F52EF2" w:rsidRDefault="00EA144A" w:rsidP="00F02C5C">
            <w:pPr>
              <w:jc w:val="both"/>
              <w:rPr>
                <w:rFonts w:cstheme="minorHAnsi"/>
              </w:rPr>
            </w:pPr>
            <w:r>
              <w:rPr>
                <w:rFonts w:cstheme="minorHAnsi"/>
              </w:rPr>
              <w:t>Predlaže se dopuniti obrazac</w:t>
            </w:r>
            <w:r w:rsidR="00F52EF2">
              <w:rPr>
                <w:rFonts w:cstheme="minorHAnsi"/>
              </w:rPr>
              <w:t xml:space="preserve"> slijedećim poslovima sudske uprave: odlučivanje o izuzeću sudaca, praćenje i uravnoteženje radne opterećenosti sudaca, predodjela predmeta po drugim osnovama, struktura predmeta i njeno kretanje, sudjelovanje u normativnim aktivnostima (priprema propisa i sl.), poslovi vezani uz sudske službenike (stegovni postupci, podnesci službeniku za etiku, natječajni/oglasni postupci, godišnje ocjenjivanje, angažman osoba na stručnom osposobljavanju bez zasnivanja radnog odnosa), poslovi odnosa s javnošću izvan odlučivanja u upravnom postupku</w:t>
            </w:r>
            <w:r w:rsidR="00BE17E9">
              <w:rPr>
                <w:rFonts w:cstheme="minorHAnsi"/>
              </w:rPr>
              <w:t xml:space="preserve"> po zahtjevima za pristup informacijama (zahtjev za snimanja, komunikacija glasnogovornika i novinara i sl.), ostali međunarodni poslovi (npr. diplomatska dostava), prikaz odnosa zatraženih i dobivenih odobrenja, opreme, potpore i dr. od strane Ministarstva pravosuđa na području ljudskih i materijalnih resursa.</w:t>
            </w:r>
          </w:p>
        </w:tc>
        <w:tc>
          <w:tcPr>
            <w:tcW w:w="1622" w:type="pct"/>
          </w:tcPr>
          <w:p w:rsidR="00237A82" w:rsidRPr="00CF371F" w:rsidRDefault="00BE17E9" w:rsidP="009F53AC">
            <w:pPr>
              <w:jc w:val="both"/>
              <w:rPr>
                <w:rFonts w:cstheme="minorHAnsi"/>
                <w:b/>
              </w:rPr>
            </w:pPr>
            <w:r w:rsidRPr="00CF371F">
              <w:rPr>
                <w:rFonts w:cstheme="minorHAnsi"/>
                <w:b/>
              </w:rPr>
              <w:t>Prijedlog se ne prihvaća.</w:t>
            </w:r>
            <w:r w:rsidR="00DE2AE8" w:rsidRPr="00CF371F">
              <w:rPr>
                <w:rFonts w:cstheme="minorHAnsi"/>
                <w:b/>
              </w:rPr>
              <w:t xml:space="preserve"> </w:t>
            </w:r>
            <w:r w:rsidR="00EA144A">
              <w:rPr>
                <w:rFonts w:cstheme="minorHAnsi"/>
                <w:b/>
              </w:rPr>
              <w:t xml:space="preserve">Glavnina navedenih prijedloga već je obuhvaćena Obrascem. </w:t>
            </w:r>
            <w:r w:rsidR="00DE2AE8" w:rsidRPr="00CF371F">
              <w:rPr>
                <w:rFonts w:cstheme="minorHAnsi"/>
                <w:b/>
              </w:rPr>
              <w:t>Naime, odlučivanje o izuze</w:t>
            </w:r>
            <w:r w:rsidR="00CF371F" w:rsidRPr="00CF371F">
              <w:rPr>
                <w:rFonts w:cstheme="minorHAnsi"/>
                <w:b/>
              </w:rPr>
              <w:t xml:space="preserve">ću sudaca obuhvaćeno je u glavi </w:t>
            </w:r>
            <w:r w:rsidR="00DE2AE8" w:rsidRPr="00CF371F">
              <w:rPr>
                <w:rFonts w:cstheme="minorHAnsi"/>
                <w:b/>
              </w:rPr>
              <w:t>II.</w:t>
            </w:r>
            <w:r w:rsidR="00CF371F">
              <w:rPr>
                <w:rFonts w:cstheme="minorHAnsi"/>
                <w:b/>
              </w:rPr>
              <w:t xml:space="preserve"> Obrasca</w:t>
            </w:r>
            <w:r w:rsidR="00DE2AE8" w:rsidRPr="00CF371F">
              <w:rPr>
                <w:rFonts w:cstheme="minorHAnsi"/>
                <w:b/>
              </w:rPr>
              <w:t>. Praćenje i uravnoteženje radne opterećenosti sudaca</w:t>
            </w:r>
            <w:r w:rsidR="00CF371F">
              <w:rPr>
                <w:rFonts w:cstheme="minorHAnsi"/>
                <w:b/>
              </w:rPr>
              <w:t>,</w:t>
            </w:r>
            <w:r w:rsidR="00DE2AE8" w:rsidRPr="00CF371F">
              <w:rPr>
                <w:rFonts w:cstheme="minorHAnsi"/>
                <w:b/>
              </w:rPr>
              <w:t xml:space="preserve"> predodjela predmeta po drugim osnovama </w:t>
            </w:r>
            <w:r w:rsidR="00A24B2D" w:rsidRPr="00CF371F">
              <w:rPr>
                <w:rFonts w:cstheme="minorHAnsi"/>
                <w:b/>
              </w:rPr>
              <w:t xml:space="preserve">obuhvaćeno je </w:t>
            </w:r>
            <w:r w:rsidR="00CF371F">
              <w:rPr>
                <w:rFonts w:cstheme="minorHAnsi"/>
                <w:b/>
              </w:rPr>
              <w:t xml:space="preserve">glavom II. </w:t>
            </w:r>
            <w:r w:rsidR="00A24B2D" w:rsidRPr="00CF371F">
              <w:rPr>
                <w:rFonts w:cstheme="minorHAnsi"/>
                <w:b/>
              </w:rPr>
              <w:t>točkom 11.</w:t>
            </w:r>
            <w:r w:rsidR="00EA144A">
              <w:rPr>
                <w:rFonts w:cstheme="minorHAnsi"/>
                <w:b/>
              </w:rPr>
              <w:t xml:space="preserve"> Obrasca</w:t>
            </w:r>
            <w:r w:rsidR="00DE2AE8" w:rsidRPr="00CF371F">
              <w:rPr>
                <w:rFonts w:cstheme="minorHAnsi"/>
                <w:b/>
              </w:rPr>
              <w:t xml:space="preserve">. </w:t>
            </w:r>
            <w:r w:rsidR="00A24B2D" w:rsidRPr="00CF371F">
              <w:rPr>
                <w:rFonts w:cstheme="minorHAnsi"/>
                <w:b/>
              </w:rPr>
              <w:t>Struktura predmeta i njegovo kretanje obuhvaćeno je glavom I. pod točkom 2.</w:t>
            </w:r>
            <w:r w:rsidR="00EA144A">
              <w:rPr>
                <w:rFonts w:cstheme="minorHAnsi"/>
                <w:b/>
              </w:rPr>
              <w:t xml:space="preserve"> Obrasca</w:t>
            </w:r>
            <w:r w:rsidR="00A24B2D" w:rsidRPr="00CF371F">
              <w:rPr>
                <w:rFonts w:cstheme="minorHAnsi"/>
                <w:b/>
              </w:rPr>
              <w:t xml:space="preserve">. Poslovi vezani uz sudske službenike </w:t>
            </w:r>
            <w:r w:rsidR="00EA144A">
              <w:rPr>
                <w:rFonts w:cstheme="minorHAnsi"/>
                <w:b/>
              </w:rPr>
              <w:t>obuhvaćeni su</w:t>
            </w:r>
            <w:r w:rsidR="00A24B2D" w:rsidRPr="00CF371F">
              <w:rPr>
                <w:rFonts w:cstheme="minorHAnsi"/>
                <w:b/>
              </w:rPr>
              <w:t xml:space="preserve"> glavom II. točkom 5. </w:t>
            </w:r>
            <w:r w:rsidR="00EA144A">
              <w:rPr>
                <w:rFonts w:cstheme="minorHAnsi"/>
                <w:b/>
              </w:rPr>
              <w:t>Obrasca.</w:t>
            </w:r>
            <w:r w:rsidR="00A24B2D" w:rsidRPr="00CF371F">
              <w:rPr>
                <w:rFonts w:cstheme="minorHAnsi"/>
                <w:b/>
              </w:rPr>
              <w:t xml:space="preserve"> Poslovi odnosa s javnošću izvan odlučivanja u upravnom  postupku po zahtjevima za pristup informacijama </w:t>
            </w:r>
            <w:r w:rsidR="00EA144A">
              <w:rPr>
                <w:rFonts w:cstheme="minorHAnsi"/>
                <w:b/>
              </w:rPr>
              <w:t>obuhvaćeni su</w:t>
            </w:r>
            <w:r w:rsidR="00A24B2D" w:rsidRPr="00CF371F">
              <w:rPr>
                <w:rFonts w:cstheme="minorHAnsi"/>
                <w:b/>
              </w:rPr>
              <w:t xml:space="preserve"> glavom II. točkom 12.</w:t>
            </w:r>
            <w:r w:rsidR="00EA144A">
              <w:rPr>
                <w:rFonts w:cstheme="minorHAnsi"/>
                <w:b/>
              </w:rPr>
              <w:t xml:space="preserve"> Obrasca.</w:t>
            </w:r>
            <w:r w:rsidR="00CF371F" w:rsidRPr="00CF371F">
              <w:rPr>
                <w:rFonts w:cstheme="minorHAnsi"/>
                <w:b/>
              </w:rPr>
              <w:t xml:space="preserve"> </w:t>
            </w:r>
            <w:r w:rsidR="00EA144A">
              <w:rPr>
                <w:rFonts w:cstheme="minorHAnsi"/>
                <w:b/>
              </w:rPr>
              <w:t>Poslovi u vezi s međunarodnom pravnom pomoći</w:t>
            </w:r>
            <w:r w:rsidR="00A24B2D" w:rsidRPr="00CF371F">
              <w:rPr>
                <w:rFonts w:cstheme="minorHAnsi"/>
                <w:b/>
              </w:rPr>
              <w:t xml:space="preserve"> obuhvaćen</w:t>
            </w:r>
            <w:r w:rsidR="00EA144A">
              <w:rPr>
                <w:rFonts w:cstheme="minorHAnsi"/>
                <w:b/>
              </w:rPr>
              <w:t>i su</w:t>
            </w:r>
            <w:r w:rsidR="00A24B2D" w:rsidRPr="00CF371F">
              <w:rPr>
                <w:rFonts w:cstheme="minorHAnsi"/>
                <w:b/>
              </w:rPr>
              <w:t xml:space="preserve"> glavom II. točkom 14.</w:t>
            </w:r>
            <w:r w:rsidR="00EA144A">
              <w:rPr>
                <w:rFonts w:cstheme="minorHAnsi"/>
                <w:b/>
              </w:rPr>
              <w:t xml:space="preserve"> Obrasca</w:t>
            </w:r>
            <w:r w:rsidR="00A24B2D" w:rsidRPr="00CF371F">
              <w:rPr>
                <w:rFonts w:cstheme="minorHAnsi"/>
                <w:b/>
              </w:rPr>
              <w:t>. Prikaz odnosa zatraženih i dobivenih odobrenja, opreme, potpore i dr. od strane Ministarstva pravosuđa na području ljudskih i materijalnih resursa</w:t>
            </w:r>
            <w:r w:rsidR="00EA144A">
              <w:rPr>
                <w:rFonts w:cstheme="minorHAnsi"/>
                <w:b/>
              </w:rPr>
              <w:t xml:space="preserve"> nije obuhvaćen Obrascem</w:t>
            </w:r>
            <w:r w:rsidR="00CE3D71">
              <w:rPr>
                <w:rFonts w:cstheme="minorHAnsi"/>
                <w:b/>
              </w:rPr>
              <w:t xml:space="preserve"> iz razloga jer se podacima sadržanim u Obrascu želi dobiti isključivo uvid u ažurnost i učinkovitost rada suda dok se podaci o zatraženim i dobivenim odobrenjima nalaze u Ministarstvu</w:t>
            </w:r>
            <w:r w:rsidR="009F53AC">
              <w:rPr>
                <w:rFonts w:cstheme="minorHAnsi"/>
                <w:b/>
              </w:rPr>
              <w:t xml:space="preserve"> pravosuđa</w:t>
            </w:r>
            <w:r w:rsidR="00CE3D71">
              <w:rPr>
                <w:rFonts w:cstheme="minorHAnsi"/>
                <w:b/>
              </w:rPr>
              <w:t>.</w:t>
            </w:r>
            <w:r w:rsidR="006449E8">
              <w:rPr>
                <w:rFonts w:cstheme="minorHAnsi"/>
                <w:b/>
              </w:rPr>
              <w:t xml:space="preserve"> </w:t>
            </w:r>
          </w:p>
        </w:tc>
      </w:tr>
      <w:tr w:rsidR="00890B68" w:rsidRPr="000C6236" w:rsidTr="000D46B5">
        <w:trPr>
          <w:trHeight w:val="396"/>
        </w:trPr>
        <w:tc>
          <w:tcPr>
            <w:tcW w:w="287" w:type="pct"/>
            <w:vAlign w:val="center"/>
          </w:tcPr>
          <w:p w:rsidR="00890B68" w:rsidRDefault="00890B68" w:rsidP="00466EA1">
            <w:pPr>
              <w:jc w:val="center"/>
              <w:rPr>
                <w:rFonts w:cstheme="minorHAnsi"/>
                <w:b/>
              </w:rPr>
            </w:pPr>
            <w:r>
              <w:rPr>
                <w:rFonts w:cstheme="minorHAnsi"/>
                <w:b/>
              </w:rPr>
              <w:t xml:space="preserve">8. </w:t>
            </w:r>
          </w:p>
        </w:tc>
        <w:tc>
          <w:tcPr>
            <w:tcW w:w="848" w:type="pct"/>
            <w:vAlign w:val="center"/>
          </w:tcPr>
          <w:p w:rsidR="00890B68" w:rsidRDefault="00890B68" w:rsidP="00466EA1">
            <w:pPr>
              <w:jc w:val="center"/>
              <w:rPr>
                <w:rFonts w:cstheme="minorHAnsi"/>
                <w:b/>
              </w:rPr>
            </w:pPr>
            <w:r>
              <w:rPr>
                <w:rFonts w:cstheme="minorHAnsi"/>
                <w:b/>
              </w:rPr>
              <w:t>ŽUPANIJSKI SUD U ŠIBENIKU</w:t>
            </w:r>
          </w:p>
        </w:tc>
        <w:tc>
          <w:tcPr>
            <w:tcW w:w="748" w:type="pct"/>
            <w:vAlign w:val="center"/>
          </w:tcPr>
          <w:p w:rsidR="00890B68" w:rsidRDefault="00890B68" w:rsidP="00BB2F6E">
            <w:pPr>
              <w:jc w:val="center"/>
              <w:rPr>
                <w:rFonts w:cstheme="minorHAnsi"/>
              </w:rPr>
            </w:pPr>
            <w:r>
              <w:rPr>
                <w:rFonts w:cstheme="minorHAnsi"/>
              </w:rPr>
              <w:t>Članak 188. Sudskog poslovnika</w:t>
            </w:r>
          </w:p>
        </w:tc>
        <w:tc>
          <w:tcPr>
            <w:tcW w:w="1495" w:type="pct"/>
            <w:vAlign w:val="center"/>
          </w:tcPr>
          <w:p w:rsidR="00890B68" w:rsidRDefault="00890B68" w:rsidP="00C810C5">
            <w:pPr>
              <w:jc w:val="both"/>
              <w:rPr>
                <w:rFonts w:cstheme="minorHAnsi"/>
              </w:rPr>
            </w:pPr>
            <w:r>
              <w:rPr>
                <w:rFonts w:cstheme="minorHAnsi"/>
              </w:rPr>
              <w:t>Predlaže se smanjenje broja kaznenih upisnika za županijske sudove.</w:t>
            </w:r>
          </w:p>
        </w:tc>
        <w:tc>
          <w:tcPr>
            <w:tcW w:w="1622" w:type="pct"/>
          </w:tcPr>
          <w:p w:rsidR="00890B68" w:rsidRDefault="00890B68" w:rsidP="002047CE">
            <w:pPr>
              <w:jc w:val="both"/>
              <w:rPr>
                <w:rFonts w:cstheme="minorHAnsi"/>
                <w:b/>
              </w:rPr>
            </w:pPr>
            <w:r>
              <w:rPr>
                <w:rFonts w:cstheme="minorHAnsi"/>
                <w:b/>
              </w:rPr>
              <w:t>Prijedlog se ne prihvaća. Radi sveobuhvatnog i jednoobraznog statističkog praćenja podataka o predmetima potrebno je bilo uvesti upisnike na koje se prijedlog odnosi.</w:t>
            </w:r>
          </w:p>
        </w:tc>
      </w:tr>
      <w:tr w:rsidR="00890B68" w:rsidRPr="000C6236" w:rsidTr="000D46B5">
        <w:trPr>
          <w:trHeight w:val="396"/>
        </w:trPr>
        <w:tc>
          <w:tcPr>
            <w:tcW w:w="287" w:type="pct"/>
            <w:vAlign w:val="center"/>
          </w:tcPr>
          <w:p w:rsidR="00890B68" w:rsidRDefault="00890B68" w:rsidP="00466EA1">
            <w:pPr>
              <w:jc w:val="center"/>
              <w:rPr>
                <w:rFonts w:cstheme="minorHAnsi"/>
                <w:b/>
              </w:rPr>
            </w:pPr>
            <w:r>
              <w:rPr>
                <w:rFonts w:cstheme="minorHAnsi"/>
                <w:b/>
              </w:rPr>
              <w:t>9.</w:t>
            </w:r>
          </w:p>
        </w:tc>
        <w:tc>
          <w:tcPr>
            <w:tcW w:w="848" w:type="pct"/>
            <w:vAlign w:val="center"/>
          </w:tcPr>
          <w:p w:rsidR="00890B68" w:rsidRPr="00F02C5C" w:rsidRDefault="00890B68" w:rsidP="00466EA1">
            <w:pPr>
              <w:jc w:val="center"/>
              <w:rPr>
                <w:rFonts w:cstheme="minorHAnsi"/>
                <w:b/>
                <w:highlight w:val="yellow"/>
              </w:rPr>
            </w:pPr>
            <w:r w:rsidRPr="00C15CBE">
              <w:rPr>
                <w:rFonts w:cstheme="minorHAnsi"/>
                <w:b/>
              </w:rPr>
              <w:t>VRHOVNI SUD REPUBLIKE HRVATSKE</w:t>
            </w:r>
          </w:p>
        </w:tc>
        <w:tc>
          <w:tcPr>
            <w:tcW w:w="748" w:type="pct"/>
            <w:vAlign w:val="center"/>
          </w:tcPr>
          <w:p w:rsidR="00890B68" w:rsidRPr="00F02C5C" w:rsidRDefault="00890B68" w:rsidP="00BB2F6E">
            <w:pPr>
              <w:jc w:val="center"/>
              <w:rPr>
                <w:rFonts w:cstheme="minorHAnsi"/>
                <w:highlight w:val="yellow"/>
              </w:rPr>
            </w:pPr>
            <w:r w:rsidRPr="00C15CBE">
              <w:rPr>
                <w:rFonts w:cstheme="minorHAnsi"/>
              </w:rPr>
              <w:t>Članak 188. Sudskog poslovnika</w:t>
            </w:r>
          </w:p>
        </w:tc>
        <w:tc>
          <w:tcPr>
            <w:tcW w:w="1495" w:type="pct"/>
            <w:vAlign w:val="center"/>
          </w:tcPr>
          <w:p w:rsidR="00890B68" w:rsidRPr="00F02C5C" w:rsidRDefault="00890B68" w:rsidP="00C810C5">
            <w:pPr>
              <w:jc w:val="both"/>
              <w:rPr>
                <w:rFonts w:cstheme="minorHAnsi"/>
                <w:highlight w:val="yellow"/>
              </w:rPr>
            </w:pPr>
            <w:r w:rsidRPr="00C15CBE">
              <w:rPr>
                <w:rFonts w:cstheme="minorHAnsi"/>
              </w:rPr>
              <w:t>Predlaže se uvođenje upisnika za drugostupanjske građanske predmete starije od 10 godina Gž-</w:t>
            </w:r>
            <w:r w:rsidRPr="00C15CBE">
              <w:rPr>
                <w:rFonts w:cstheme="minorHAnsi"/>
                <w:sz w:val="18"/>
              </w:rPr>
              <w:t>X</w:t>
            </w:r>
            <w:r w:rsidR="00F3458A" w:rsidRPr="00C15CBE">
              <w:rPr>
                <w:rFonts w:cstheme="minorHAnsi"/>
                <w:sz w:val="18"/>
              </w:rPr>
              <w:t>.</w:t>
            </w:r>
          </w:p>
        </w:tc>
        <w:tc>
          <w:tcPr>
            <w:tcW w:w="1622" w:type="pct"/>
          </w:tcPr>
          <w:p w:rsidR="00890B68" w:rsidRPr="00F02C5C" w:rsidRDefault="00C15CBE" w:rsidP="009B5695">
            <w:pPr>
              <w:jc w:val="both"/>
              <w:rPr>
                <w:rFonts w:cstheme="minorHAnsi"/>
                <w:b/>
                <w:highlight w:val="yellow"/>
              </w:rPr>
            </w:pPr>
            <w:r>
              <w:rPr>
                <w:rFonts w:cstheme="minorHAnsi"/>
                <w:b/>
              </w:rPr>
              <w:t>Prijedlog se</w:t>
            </w:r>
            <w:r w:rsidR="00830A70">
              <w:rPr>
                <w:rFonts w:cstheme="minorHAnsi"/>
                <w:b/>
              </w:rPr>
              <w:t xml:space="preserve"> ne</w:t>
            </w:r>
            <w:r w:rsidR="00CA73B0" w:rsidRPr="00C15CBE">
              <w:rPr>
                <w:rFonts w:cstheme="minorHAnsi"/>
                <w:b/>
              </w:rPr>
              <w:t xml:space="preserve"> prihvaća.</w:t>
            </w:r>
            <w:r w:rsidR="00830A70">
              <w:rPr>
                <w:rFonts w:cstheme="minorHAnsi"/>
                <w:b/>
              </w:rPr>
              <w:t xml:space="preserve"> Naime, u sustavu eSpis nalaze se točni i precizni podaci kada je započeo postupak u određenoj pravnoj stvari, a u </w:t>
            </w:r>
            <w:r w:rsidR="009B5695">
              <w:rPr>
                <w:rFonts w:cstheme="minorHAnsi"/>
                <w:b/>
              </w:rPr>
              <w:t>isti</w:t>
            </w:r>
            <w:r w:rsidR="00830A70">
              <w:rPr>
                <w:rFonts w:cstheme="minorHAnsi"/>
                <w:b/>
              </w:rPr>
              <w:t xml:space="preserve"> ima uvid i Vrhovni sud Republike Hrvatske.</w:t>
            </w:r>
            <w:r w:rsidR="00CA73B0" w:rsidRPr="00C15CBE">
              <w:rPr>
                <w:rFonts w:cstheme="minorHAnsi"/>
                <w:b/>
              </w:rPr>
              <w:t xml:space="preserve"> </w:t>
            </w:r>
            <w:r w:rsidR="009B5695">
              <w:rPr>
                <w:rFonts w:cstheme="minorHAnsi"/>
                <w:b/>
              </w:rPr>
              <w:t>Slijedom toga ukazuje se</w:t>
            </w:r>
            <w:r w:rsidR="00B65C6D">
              <w:rPr>
                <w:rFonts w:cstheme="minorHAnsi"/>
                <w:b/>
              </w:rPr>
              <w:t xml:space="preserve"> i na odredbu članka 172. stavak 5. Sudskog poslovnika.</w:t>
            </w:r>
          </w:p>
        </w:tc>
      </w:tr>
      <w:tr w:rsidR="00DB2F39" w:rsidRPr="000C6236" w:rsidTr="004C3EF2">
        <w:trPr>
          <w:trHeight w:val="880"/>
        </w:trPr>
        <w:tc>
          <w:tcPr>
            <w:tcW w:w="287" w:type="pct"/>
            <w:vMerge w:val="restart"/>
            <w:vAlign w:val="center"/>
          </w:tcPr>
          <w:p w:rsidR="00DB2F39" w:rsidRDefault="00DB2F39" w:rsidP="00466EA1">
            <w:pPr>
              <w:jc w:val="center"/>
              <w:rPr>
                <w:rFonts w:cstheme="minorHAnsi"/>
                <w:b/>
              </w:rPr>
            </w:pPr>
            <w:r>
              <w:rPr>
                <w:rFonts w:cstheme="minorHAnsi"/>
                <w:b/>
              </w:rPr>
              <w:t>10.</w:t>
            </w:r>
          </w:p>
        </w:tc>
        <w:tc>
          <w:tcPr>
            <w:tcW w:w="848" w:type="pct"/>
            <w:vMerge w:val="restart"/>
            <w:vAlign w:val="center"/>
          </w:tcPr>
          <w:p w:rsidR="00DB2F39" w:rsidRDefault="00DB2F39" w:rsidP="00466EA1">
            <w:pPr>
              <w:jc w:val="center"/>
              <w:rPr>
                <w:rFonts w:cstheme="minorHAnsi"/>
                <w:b/>
              </w:rPr>
            </w:pPr>
            <w:r>
              <w:rPr>
                <w:rFonts w:cstheme="minorHAnsi"/>
                <w:b/>
              </w:rPr>
              <w:t>OPĆINSKI GRAĐANSKI SUD U ZAGREBU</w:t>
            </w:r>
          </w:p>
        </w:tc>
        <w:tc>
          <w:tcPr>
            <w:tcW w:w="748" w:type="pct"/>
            <w:vAlign w:val="center"/>
          </w:tcPr>
          <w:p w:rsidR="00DB2F39" w:rsidRDefault="00DB2F39" w:rsidP="00BB2F6E">
            <w:pPr>
              <w:jc w:val="center"/>
              <w:rPr>
                <w:rFonts w:cstheme="minorHAnsi"/>
              </w:rPr>
            </w:pPr>
            <w:r>
              <w:rPr>
                <w:rFonts w:cstheme="minorHAnsi"/>
              </w:rPr>
              <w:t>Članak 23. Nacrta</w:t>
            </w:r>
          </w:p>
        </w:tc>
        <w:tc>
          <w:tcPr>
            <w:tcW w:w="1495" w:type="pct"/>
            <w:vAlign w:val="center"/>
          </w:tcPr>
          <w:p w:rsidR="00DB2F39" w:rsidRDefault="00DB2F39" w:rsidP="00C810C5">
            <w:pPr>
              <w:jc w:val="both"/>
              <w:rPr>
                <w:rFonts w:cstheme="minorHAnsi"/>
              </w:rPr>
            </w:pPr>
            <w:r>
              <w:rPr>
                <w:rFonts w:cstheme="minorHAnsi"/>
              </w:rPr>
              <w:t>Predloženo brisanje stavaka 1. i 2. u članku 93. Sudskog poslovnika nije svrhovito.</w:t>
            </w:r>
          </w:p>
        </w:tc>
        <w:tc>
          <w:tcPr>
            <w:tcW w:w="1622" w:type="pct"/>
          </w:tcPr>
          <w:p w:rsidR="00DB2F39" w:rsidRDefault="00DB2F39" w:rsidP="002047CE">
            <w:pPr>
              <w:jc w:val="both"/>
              <w:rPr>
                <w:rFonts w:cstheme="minorHAnsi"/>
                <w:b/>
              </w:rPr>
            </w:pPr>
            <w:r>
              <w:rPr>
                <w:rFonts w:cstheme="minorHAnsi"/>
                <w:b/>
              </w:rPr>
              <w:t>Pri</w:t>
            </w:r>
            <w:r w:rsidR="008C1715">
              <w:rPr>
                <w:rFonts w:cstheme="minorHAnsi"/>
                <w:b/>
              </w:rPr>
              <w:t>jedlog se djelomično prihvaća. S</w:t>
            </w:r>
            <w:r>
              <w:rPr>
                <w:rFonts w:cstheme="minorHAnsi"/>
                <w:b/>
              </w:rPr>
              <w:t xml:space="preserve">tavak 1. briše se zbog ponavljanja (odredba identičnog sadržaja sadržana je u odredbi članka 92. stavka 1. Sudskog poslovnika). Prijedlog u odnosu na stavak 2. članka 93. Sudskog poslovnika prihvaća se </w:t>
            </w:r>
          </w:p>
        </w:tc>
      </w:tr>
      <w:tr w:rsidR="00DB2F39" w:rsidRPr="000C6236" w:rsidTr="004C3EF2">
        <w:trPr>
          <w:trHeight w:val="880"/>
        </w:trPr>
        <w:tc>
          <w:tcPr>
            <w:tcW w:w="287" w:type="pct"/>
            <w:vMerge/>
            <w:vAlign w:val="center"/>
          </w:tcPr>
          <w:p w:rsidR="00DB2F39" w:rsidRDefault="00DB2F39" w:rsidP="00466EA1">
            <w:pPr>
              <w:jc w:val="center"/>
              <w:rPr>
                <w:rFonts w:cstheme="minorHAnsi"/>
                <w:b/>
              </w:rPr>
            </w:pPr>
          </w:p>
        </w:tc>
        <w:tc>
          <w:tcPr>
            <w:tcW w:w="848" w:type="pct"/>
            <w:vMerge/>
            <w:vAlign w:val="center"/>
          </w:tcPr>
          <w:p w:rsidR="00DB2F39" w:rsidRDefault="00DB2F39" w:rsidP="00466EA1">
            <w:pPr>
              <w:jc w:val="center"/>
              <w:rPr>
                <w:rFonts w:cstheme="minorHAnsi"/>
                <w:b/>
              </w:rPr>
            </w:pPr>
          </w:p>
        </w:tc>
        <w:tc>
          <w:tcPr>
            <w:tcW w:w="748" w:type="pct"/>
            <w:vAlign w:val="center"/>
          </w:tcPr>
          <w:p w:rsidR="00DB2F39" w:rsidRDefault="00DB2F39" w:rsidP="00BB2F6E">
            <w:pPr>
              <w:jc w:val="center"/>
              <w:rPr>
                <w:rFonts w:cstheme="minorHAnsi"/>
              </w:rPr>
            </w:pPr>
            <w:r>
              <w:rPr>
                <w:rFonts w:cstheme="minorHAnsi"/>
              </w:rPr>
              <w:t>Članak 25. Nacrta</w:t>
            </w:r>
          </w:p>
        </w:tc>
        <w:tc>
          <w:tcPr>
            <w:tcW w:w="1495" w:type="pct"/>
            <w:vAlign w:val="center"/>
          </w:tcPr>
          <w:p w:rsidR="00DB2F39" w:rsidRDefault="00DB2F39" w:rsidP="00C810C5">
            <w:pPr>
              <w:jc w:val="both"/>
              <w:rPr>
                <w:rFonts w:cstheme="minorHAnsi"/>
              </w:rPr>
            </w:pPr>
            <w:r>
              <w:rPr>
                <w:rFonts w:cstheme="minorHAnsi"/>
              </w:rPr>
              <w:t>Predloženo brisanje stavka 4. članka 172. Sudskog poslovnika nije svrhovito.</w:t>
            </w:r>
          </w:p>
        </w:tc>
        <w:tc>
          <w:tcPr>
            <w:tcW w:w="1622" w:type="pct"/>
          </w:tcPr>
          <w:p w:rsidR="00DB2F39" w:rsidRDefault="00DB2F39" w:rsidP="00947A54">
            <w:pPr>
              <w:jc w:val="both"/>
              <w:rPr>
                <w:rFonts w:cstheme="minorHAnsi"/>
                <w:b/>
              </w:rPr>
            </w:pPr>
            <w:r>
              <w:rPr>
                <w:rFonts w:cstheme="minorHAnsi"/>
                <w:b/>
              </w:rPr>
              <w:t xml:space="preserve">Primjedba nije prihvaćena. Radi sveobuhvatnog i jednoobraznog praćenja podataka o predmetima potrebno je da svi sudovi imaju iste upisnike. </w:t>
            </w:r>
          </w:p>
        </w:tc>
      </w:tr>
      <w:tr w:rsidR="00DB2F39" w:rsidRPr="000C6236" w:rsidTr="004C3EF2">
        <w:trPr>
          <w:trHeight w:val="880"/>
        </w:trPr>
        <w:tc>
          <w:tcPr>
            <w:tcW w:w="287" w:type="pct"/>
            <w:vMerge/>
            <w:vAlign w:val="center"/>
          </w:tcPr>
          <w:p w:rsidR="00DB2F39" w:rsidRDefault="00DB2F39" w:rsidP="00466EA1">
            <w:pPr>
              <w:jc w:val="center"/>
              <w:rPr>
                <w:rFonts w:cstheme="minorHAnsi"/>
                <w:b/>
              </w:rPr>
            </w:pPr>
          </w:p>
        </w:tc>
        <w:tc>
          <w:tcPr>
            <w:tcW w:w="848" w:type="pct"/>
            <w:vMerge/>
            <w:vAlign w:val="center"/>
          </w:tcPr>
          <w:p w:rsidR="00DB2F39" w:rsidRDefault="00DB2F39" w:rsidP="00466EA1">
            <w:pPr>
              <w:jc w:val="center"/>
              <w:rPr>
                <w:rFonts w:cstheme="minorHAnsi"/>
                <w:b/>
              </w:rPr>
            </w:pPr>
          </w:p>
        </w:tc>
        <w:tc>
          <w:tcPr>
            <w:tcW w:w="748" w:type="pct"/>
            <w:vAlign w:val="center"/>
          </w:tcPr>
          <w:p w:rsidR="00DB2F39" w:rsidRDefault="00DB2F39" w:rsidP="00BB2F6E">
            <w:pPr>
              <w:jc w:val="center"/>
              <w:rPr>
                <w:rFonts w:cstheme="minorHAnsi"/>
              </w:rPr>
            </w:pPr>
            <w:r>
              <w:rPr>
                <w:rFonts w:cstheme="minorHAnsi"/>
              </w:rPr>
              <w:t>Članak 27. Nacrta</w:t>
            </w:r>
          </w:p>
        </w:tc>
        <w:tc>
          <w:tcPr>
            <w:tcW w:w="1495" w:type="pct"/>
            <w:vAlign w:val="center"/>
          </w:tcPr>
          <w:p w:rsidR="00DB2F39" w:rsidRDefault="00DB2F39" w:rsidP="00C810C5">
            <w:pPr>
              <w:jc w:val="both"/>
              <w:rPr>
                <w:rFonts w:cstheme="minorHAnsi"/>
              </w:rPr>
            </w:pPr>
            <w:r>
              <w:rPr>
                <w:rFonts w:cstheme="minorHAnsi"/>
              </w:rPr>
              <w:t>Predlaže se upisnik Psp nazvati Pp koji naziv se i do sada koristi na Općinskom građanskom sudu u Zagrebu te osnivanje upisnika Ovrj.</w:t>
            </w:r>
          </w:p>
        </w:tc>
        <w:tc>
          <w:tcPr>
            <w:tcW w:w="1622" w:type="pct"/>
          </w:tcPr>
          <w:p w:rsidR="00DB2F39" w:rsidRDefault="00DB2F39" w:rsidP="00B5034B">
            <w:pPr>
              <w:jc w:val="both"/>
              <w:rPr>
                <w:rFonts w:cstheme="minorHAnsi"/>
                <w:b/>
              </w:rPr>
            </w:pPr>
            <w:r w:rsidRPr="00B5034B">
              <w:rPr>
                <w:rFonts w:cstheme="minorHAnsi"/>
                <w:b/>
              </w:rPr>
              <w:t>Primjedba se ne prihvaća. Naziv Psp je logična skraćenica od smetanja posjeda</w:t>
            </w:r>
            <w:r w:rsidR="00B5034B" w:rsidRPr="00B5034B">
              <w:rPr>
                <w:rFonts w:cstheme="minorHAnsi"/>
                <w:b/>
              </w:rPr>
              <w:t>. P</w:t>
            </w:r>
            <w:r w:rsidRPr="00B5034B">
              <w:rPr>
                <w:rFonts w:cstheme="minorHAnsi"/>
                <w:b/>
              </w:rPr>
              <w:t>redmeti koji bi se trebali upisivati u upisni</w:t>
            </w:r>
            <w:r w:rsidR="00B5034B" w:rsidRPr="00B5034B">
              <w:rPr>
                <w:rFonts w:cstheme="minorHAnsi"/>
                <w:b/>
              </w:rPr>
              <w:t>k Ovrj upisuju se u upisnik Ovr</w:t>
            </w:r>
            <w:r w:rsidR="00B5034B">
              <w:rPr>
                <w:rFonts w:cstheme="minorHAnsi"/>
                <w:b/>
              </w:rPr>
              <w:t xml:space="preserve"> obzirom na to da se radi o upisniku u kojem se upisuju ovrhe koje se provode temeljem ovršnih isprava, a pravomoćno rješenje o ovrsi izdano na temelju vjerodostojne isprave je ovršna isprava pa nema razloga da se za tu vrstu ovršnih isprava vodi poseban upisnik.</w:t>
            </w:r>
          </w:p>
        </w:tc>
      </w:tr>
      <w:tr w:rsidR="00DB2F39" w:rsidRPr="000C6236" w:rsidTr="004C3EF2">
        <w:trPr>
          <w:trHeight w:val="880"/>
        </w:trPr>
        <w:tc>
          <w:tcPr>
            <w:tcW w:w="287" w:type="pct"/>
            <w:vMerge/>
            <w:vAlign w:val="center"/>
          </w:tcPr>
          <w:p w:rsidR="00DB2F39" w:rsidRDefault="00DB2F39" w:rsidP="00466EA1">
            <w:pPr>
              <w:jc w:val="center"/>
              <w:rPr>
                <w:rFonts w:cstheme="minorHAnsi"/>
                <w:b/>
              </w:rPr>
            </w:pPr>
          </w:p>
        </w:tc>
        <w:tc>
          <w:tcPr>
            <w:tcW w:w="848" w:type="pct"/>
            <w:vMerge/>
            <w:vAlign w:val="center"/>
          </w:tcPr>
          <w:p w:rsidR="00DB2F39" w:rsidRDefault="00DB2F39" w:rsidP="00466EA1">
            <w:pPr>
              <w:jc w:val="center"/>
              <w:rPr>
                <w:rFonts w:cstheme="minorHAnsi"/>
                <w:b/>
              </w:rPr>
            </w:pPr>
          </w:p>
        </w:tc>
        <w:tc>
          <w:tcPr>
            <w:tcW w:w="748" w:type="pct"/>
            <w:vAlign w:val="center"/>
          </w:tcPr>
          <w:p w:rsidR="00DB2F39" w:rsidRDefault="00DB2F39" w:rsidP="00BB2F6E">
            <w:pPr>
              <w:jc w:val="center"/>
              <w:rPr>
                <w:rFonts w:cstheme="minorHAnsi"/>
              </w:rPr>
            </w:pPr>
            <w:r>
              <w:rPr>
                <w:rFonts w:cstheme="minorHAnsi"/>
              </w:rPr>
              <w:t>Članak 213. b Nacrta</w:t>
            </w:r>
          </w:p>
        </w:tc>
        <w:tc>
          <w:tcPr>
            <w:tcW w:w="1495" w:type="pct"/>
            <w:vAlign w:val="center"/>
          </w:tcPr>
          <w:p w:rsidR="00DB2F39" w:rsidRDefault="00DB2F39" w:rsidP="00C810C5">
            <w:pPr>
              <w:jc w:val="both"/>
              <w:rPr>
                <w:rFonts w:cstheme="minorHAnsi"/>
              </w:rPr>
            </w:pPr>
            <w:r>
              <w:rPr>
                <w:rFonts w:cstheme="minorHAnsi"/>
              </w:rPr>
              <w:t>Predlaže se upisnik R1-eu nazvati Ovr-eu</w:t>
            </w:r>
          </w:p>
        </w:tc>
        <w:tc>
          <w:tcPr>
            <w:tcW w:w="1622" w:type="pct"/>
          </w:tcPr>
          <w:p w:rsidR="00DB2F39" w:rsidRDefault="00DB2F39" w:rsidP="00274EED">
            <w:pPr>
              <w:jc w:val="both"/>
              <w:rPr>
                <w:rFonts w:cstheme="minorHAnsi"/>
                <w:b/>
              </w:rPr>
            </w:pPr>
            <w:r>
              <w:rPr>
                <w:rFonts w:cstheme="minorHAnsi"/>
                <w:b/>
              </w:rPr>
              <w:t xml:space="preserve">Prijedlog se ne prihvaća. Naime, u navedeni upisnik upisivati će se </w:t>
            </w:r>
            <w:r w:rsidR="00274EED">
              <w:rPr>
                <w:rFonts w:cstheme="minorHAnsi"/>
                <w:b/>
              </w:rPr>
              <w:t xml:space="preserve">svi prijedlozi za priznanje i izvršenje stranih sudskih odluka kako u građanskim, trgovačkim </w:t>
            </w:r>
            <w:r>
              <w:rPr>
                <w:rFonts w:cstheme="minorHAnsi"/>
                <w:b/>
              </w:rPr>
              <w:t>i</w:t>
            </w:r>
            <w:r w:rsidR="00274EED">
              <w:rPr>
                <w:rFonts w:cstheme="minorHAnsi"/>
                <w:b/>
              </w:rPr>
              <w:t xml:space="preserve"> obiteljskim stvarima tako i  predmeti koji se odnose na priznanje i izvršenje odluka i prihvaćenje </w:t>
            </w:r>
            <w:r>
              <w:rPr>
                <w:rFonts w:cstheme="minorHAnsi"/>
                <w:b/>
              </w:rPr>
              <w:t xml:space="preserve"> </w:t>
            </w:r>
            <w:r w:rsidR="00274EED">
              <w:rPr>
                <w:rFonts w:cstheme="minorHAnsi"/>
                <w:b/>
              </w:rPr>
              <w:t xml:space="preserve">i </w:t>
            </w:r>
            <w:r>
              <w:rPr>
                <w:rFonts w:cstheme="minorHAnsi"/>
                <w:b/>
              </w:rPr>
              <w:t>izdavanje potvrda vezano za ostavinske predmete.</w:t>
            </w:r>
          </w:p>
        </w:tc>
      </w:tr>
      <w:tr w:rsidR="00DB2F39" w:rsidRPr="000C6236" w:rsidTr="004C3EF2">
        <w:trPr>
          <w:trHeight w:val="880"/>
        </w:trPr>
        <w:tc>
          <w:tcPr>
            <w:tcW w:w="287" w:type="pct"/>
            <w:vMerge/>
            <w:vAlign w:val="center"/>
          </w:tcPr>
          <w:p w:rsidR="00DB2F39" w:rsidRDefault="00DB2F39" w:rsidP="00466EA1">
            <w:pPr>
              <w:jc w:val="center"/>
              <w:rPr>
                <w:rFonts w:cstheme="minorHAnsi"/>
                <w:b/>
              </w:rPr>
            </w:pPr>
          </w:p>
        </w:tc>
        <w:tc>
          <w:tcPr>
            <w:tcW w:w="848" w:type="pct"/>
            <w:vMerge/>
            <w:vAlign w:val="center"/>
          </w:tcPr>
          <w:p w:rsidR="00DB2F39" w:rsidRDefault="00DB2F39" w:rsidP="00466EA1">
            <w:pPr>
              <w:jc w:val="center"/>
              <w:rPr>
                <w:rFonts w:cstheme="minorHAnsi"/>
                <w:b/>
              </w:rPr>
            </w:pPr>
          </w:p>
        </w:tc>
        <w:tc>
          <w:tcPr>
            <w:tcW w:w="748" w:type="pct"/>
            <w:vAlign w:val="center"/>
          </w:tcPr>
          <w:p w:rsidR="00DB2F39" w:rsidRDefault="00DB2F39" w:rsidP="00517ABD">
            <w:pPr>
              <w:jc w:val="center"/>
              <w:rPr>
                <w:rFonts w:cstheme="minorHAnsi"/>
              </w:rPr>
            </w:pPr>
            <w:r>
              <w:rPr>
                <w:rFonts w:cstheme="minorHAnsi"/>
              </w:rPr>
              <w:t>Članak 15. Nacrta</w:t>
            </w:r>
          </w:p>
        </w:tc>
        <w:tc>
          <w:tcPr>
            <w:tcW w:w="1495" w:type="pct"/>
            <w:vAlign w:val="center"/>
          </w:tcPr>
          <w:p w:rsidR="00DB2F39" w:rsidRPr="00ED7358" w:rsidRDefault="00DB2F39" w:rsidP="00C810C5">
            <w:pPr>
              <w:jc w:val="both"/>
              <w:rPr>
                <w:rFonts w:cstheme="minorHAnsi"/>
                <w:highlight w:val="yellow"/>
              </w:rPr>
            </w:pPr>
            <w:r w:rsidRPr="00794AD5">
              <w:rPr>
                <w:rFonts w:cstheme="minorHAnsi"/>
              </w:rPr>
              <w:t>Ukazuje se na potrebu izmjene drugih propisa npr. ZPP</w:t>
            </w:r>
          </w:p>
        </w:tc>
        <w:tc>
          <w:tcPr>
            <w:tcW w:w="1622" w:type="pct"/>
          </w:tcPr>
          <w:p w:rsidR="00DB2F39" w:rsidRDefault="00B91CD1" w:rsidP="00935725">
            <w:pPr>
              <w:jc w:val="both"/>
              <w:rPr>
                <w:rFonts w:cstheme="minorHAnsi"/>
                <w:b/>
              </w:rPr>
            </w:pPr>
            <w:r w:rsidRPr="00794AD5">
              <w:rPr>
                <w:rFonts w:cstheme="minorHAnsi"/>
                <w:b/>
              </w:rPr>
              <w:t>Primjedba se ne prihvaća. Naime, Sudskim poslovnikom nije ukinuta fizička oglasna ploča.</w:t>
            </w:r>
          </w:p>
        </w:tc>
      </w:tr>
      <w:tr w:rsidR="00DB2F39" w:rsidRPr="000C6236" w:rsidTr="004C3EF2">
        <w:trPr>
          <w:trHeight w:val="880"/>
        </w:trPr>
        <w:tc>
          <w:tcPr>
            <w:tcW w:w="287" w:type="pct"/>
            <w:vMerge/>
            <w:vAlign w:val="center"/>
          </w:tcPr>
          <w:p w:rsidR="00DB2F39" w:rsidRDefault="00DB2F39" w:rsidP="00466EA1">
            <w:pPr>
              <w:jc w:val="center"/>
              <w:rPr>
                <w:rFonts w:cstheme="minorHAnsi"/>
                <w:b/>
              </w:rPr>
            </w:pPr>
          </w:p>
        </w:tc>
        <w:tc>
          <w:tcPr>
            <w:tcW w:w="848" w:type="pct"/>
            <w:vMerge/>
            <w:vAlign w:val="center"/>
          </w:tcPr>
          <w:p w:rsidR="00DB2F39" w:rsidRDefault="00DB2F39" w:rsidP="00466EA1">
            <w:pPr>
              <w:jc w:val="center"/>
              <w:rPr>
                <w:rFonts w:cstheme="minorHAnsi"/>
                <w:b/>
              </w:rPr>
            </w:pPr>
          </w:p>
        </w:tc>
        <w:tc>
          <w:tcPr>
            <w:tcW w:w="748" w:type="pct"/>
            <w:vAlign w:val="center"/>
          </w:tcPr>
          <w:p w:rsidR="00DB2F39" w:rsidRDefault="00DB2F39" w:rsidP="00517ABD">
            <w:pPr>
              <w:jc w:val="center"/>
              <w:rPr>
                <w:rFonts w:cstheme="minorHAnsi"/>
              </w:rPr>
            </w:pPr>
            <w:r>
              <w:rPr>
                <w:rFonts w:cstheme="minorHAnsi"/>
              </w:rPr>
              <w:t>Članak 49. Nacrta</w:t>
            </w:r>
          </w:p>
        </w:tc>
        <w:tc>
          <w:tcPr>
            <w:tcW w:w="1495" w:type="pct"/>
            <w:vAlign w:val="center"/>
          </w:tcPr>
          <w:p w:rsidR="00DB2F39" w:rsidRPr="002710A6" w:rsidRDefault="00DB2F39" w:rsidP="00C810C5">
            <w:pPr>
              <w:jc w:val="both"/>
              <w:rPr>
                <w:rFonts w:cstheme="minorHAnsi"/>
                <w:highlight w:val="yellow"/>
              </w:rPr>
            </w:pPr>
            <w:r w:rsidRPr="00363F3B">
              <w:rPr>
                <w:rFonts w:cstheme="minorHAnsi"/>
              </w:rPr>
              <w:t>Predlaže se u članak 300. Sudskog poslovnika dodati novi stavak 3. kojim će se propisati predmeti koji se upisuju u Ovrj upisnik.</w:t>
            </w:r>
          </w:p>
        </w:tc>
        <w:tc>
          <w:tcPr>
            <w:tcW w:w="1622" w:type="pct"/>
          </w:tcPr>
          <w:p w:rsidR="00DB2F39" w:rsidRDefault="00DB2F39" w:rsidP="00935725">
            <w:pPr>
              <w:jc w:val="both"/>
              <w:rPr>
                <w:rFonts w:cstheme="minorHAnsi"/>
                <w:b/>
              </w:rPr>
            </w:pPr>
            <w:r w:rsidRPr="00363F3B">
              <w:rPr>
                <w:rFonts w:cstheme="minorHAnsi"/>
                <w:b/>
              </w:rPr>
              <w:t>Primjedba nije prihvaćena.</w:t>
            </w:r>
            <w:r w:rsidR="00363F3B">
              <w:rPr>
                <w:rFonts w:cstheme="minorHAnsi"/>
                <w:b/>
              </w:rPr>
              <w:t xml:space="preserve"> Naime, izmjenama i dopunama Sudskog poslovnika nije predviđen upisnik Ovrj.</w:t>
            </w:r>
          </w:p>
        </w:tc>
      </w:tr>
      <w:tr w:rsidR="00DB2F39" w:rsidRPr="000C6236" w:rsidTr="004C3EF2">
        <w:trPr>
          <w:trHeight w:val="880"/>
        </w:trPr>
        <w:tc>
          <w:tcPr>
            <w:tcW w:w="287" w:type="pct"/>
            <w:vMerge/>
            <w:vAlign w:val="center"/>
          </w:tcPr>
          <w:p w:rsidR="00DB2F39" w:rsidRDefault="00DB2F39" w:rsidP="00466EA1">
            <w:pPr>
              <w:jc w:val="center"/>
              <w:rPr>
                <w:rFonts w:cstheme="minorHAnsi"/>
                <w:b/>
              </w:rPr>
            </w:pPr>
          </w:p>
        </w:tc>
        <w:tc>
          <w:tcPr>
            <w:tcW w:w="848" w:type="pct"/>
            <w:vMerge/>
            <w:vAlign w:val="center"/>
          </w:tcPr>
          <w:p w:rsidR="00DB2F39" w:rsidRDefault="00DB2F39" w:rsidP="00466EA1">
            <w:pPr>
              <w:jc w:val="center"/>
              <w:rPr>
                <w:rFonts w:cstheme="minorHAnsi"/>
                <w:b/>
              </w:rPr>
            </w:pPr>
          </w:p>
        </w:tc>
        <w:tc>
          <w:tcPr>
            <w:tcW w:w="748" w:type="pct"/>
            <w:vAlign w:val="center"/>
          </w:tcPr>
          <w:p w:rsidR="00DB2F39" w:rsidRDefault="00DB2F39" w:rsidP="00517ABD">
            <w:pPr>
              <w:jc w:val="center"/>
              <w:rPr>
                <w:rFonts w:cstheme="minorHAnsi"/>
              </w:rPr>
            </w:pPr>
            <w:r>
              <w:rPr>
                <w:rFonts w:cstheme="minorHAnsi"/>
              </w:rPr>
              <w:t>Članak 50. Nacrta</w:t>
            </w:r>
          </w:p>
        </w:tc>
        <w:tc>
          <w:tcPr>
            <w:tcW w:w="1495" w:type="pct"/>
            <w:vAlign w:val="center"/>
          </w:tcPr>
          <w:p w:rsidR="00DB2F39" w:rsidRPr="002710A6" w:rsidRDefault="00DB2F39" w:rsidP="00C810C5">
            <w:pPr>
              <w:jc w:val="both"/>
              <w:rPr>
                <w:rFonts w:cstheme="minorHAnsi"/>
                <w:highlight w:val="yellow"/>
              </w:rPr>
            </w:pPr>
            <w:r w:rsidRPr="00363F3B">
              <w:rPr>
                <w:rFonts w:cstheme="minorHAnsi"/>
              </w:rPr>
              <w:t>Brisanje članka 302. Su</w:t>
            </w:r>
            <w:r w:rsidR="00782798" w:rsidRPr="00363F3B">
              <w:rPr>
                <w:rFonts w:cstheme="minorHAnsi"/>
              </w:rPr>
              <w:t>dskog poslovnika nije svrhovito te da ga treba izmijeniti na način da glasi „Predmeti u kojima je doneseno rješenje o ovrsi označiti će se kao dovršenim nakon što rješenje bude izrađeno i otpremljeno“.</w:t>
            </w:r>
            <w:r w:rsidRPr="00A15497">
              <w:rPr>
                <w:rFonts w:cstheme="minorHAnsi"/>
              </w:rPr>
              <w:t xml:space="preserve"> </w:t>
            </w:r>
          </w:p>
        </w:tc>
        <w:tc>
          <w:tcPr>
            <w:tcW w:w="1622" w:type="pct"/>
          </w:tcPr>
          <w:p w:rsidR="00DB2F39" w:rsidRPr="00E15281" w:rsidRDefault="00DB2F39" w:rsidP="00E15281">
            <w:pPr>
              <w:jc w:val="both"/>
              <w:rPr>
                <w:rFonts w:cstheme="minorHAnsi"/>
                <w:b/>
              </w:rPr>
            </w:pPr>
            <w:r w:rsidRPr="00E15281">
              <w:rPr>
                <w:rFonts w:cstheme="minorHAnsi"/>
                <w:b/>
              </w:rPr>
              <w:t xml:space="preserve">Prijedlog se ne prihvaća. Naime, brisanjem </w:t>
            </w:r>
            <w:r w:rsidR="00E15281" w:rsidRPr="00E15281">
              <w:rPr>
                <w:rFonts w:cstheme="minorHAnsi"/>
                <w:b/>
              </w:rPr>
              <w:t xml:space="preserve">navedene </w:t>
            </w:r>
            <w:r w:rsidRPr="00E15281">
              <w:rPr>
                <w:rFonts w:cstheme="minorHAnsi"/>
                <w:b/>
              </w:rPr>
              <w:t>odredbe Sudski poslovnik usklađen</w:t>
            </w:r>
            <w:r w:rsidR="00E15281" w:rsidRPr="00E15281">
              <w:rPr>
                <w:rFonts w:cstheme="minorHAnsi"/>
                <w:b/>
              </w:rPr>
              <w:t xml:space="preserve"> je s odredbama Ovršnog zakona budući je odredbom čl. 73. Ovršnog zakona taksativno navedeno  kada se postupak ovrhe smatra dovršenim.</w:t>
            </w:r>
          </w:p>
        </w:tc>
      </w:tr>
      <w:tr w:rsidR="007D5590" w:rsidRPr="000C6236" w:rsidTr="004C3EF2">
        <w:trPr>
          <w:trHeight w:val="880"/>
        </w:trPr>
        <w:tc>
          <w:tcPr>
            <w:tcW w:w="287" w:type="pct"/>
            <w:vAlign w:val="center"/>
          </w:tcPr>
          <w:p w:rsidR="007D5590" w:rsidRDefault="007D5590" w:rsidP="00466EA1">
            <w:pPr>
              <w:jc w:val="center"/>
              <w:rPr>
                <w:rFonts w:cstheme="minorHAnsi"/>
                <w:b/>
              </w:rPr>
            </w:pPr>
            <w:r>
              <w:rPr>
                <w:rFonts w:cstheme="minorHAnsi"/>
                <w:b/>
              </w:rPr>
              <w:t>11.</w:t>
            </w:r>
          </w:p>
        </w:tc>
        <w:tc>
          <w:tcPr>
            <w:tcW w:w="848" w:type="pct"/>
            <w:vAlign w:val="center"/>
          </w:tcPr>
          <w:p w:rsidR="007D5590" w:rsidRPr="007D5590" w:rsidRDefault="007D5590" w:rsidP="00466EA1">
            <w:pPr>
              <w:jc w:val="center"/>
              <w:rPr>
                <w:rFonts w:cstheme="minorHAnsi"/>
                <w:b/>
              </w:rPr>
            </w:pPr>
            <w:r w:rsidRPr="007D5590">
              <w:rPr>
                <w:rFonts w:cstheme="minorHAnsi"/>
                <w:b/>
              </w:rPr>
              <w:t>URED ZAPSTUPNIKA RH PRED EUROPSKIM SUDOM ZA LJUDSKA PRAVA</w:t>
            </w:r>
          </w:p>
        </w:tc>
        <w:tc>
          <w:tcPr>
            <w:tcW w:w="748" w:type="pct"/>
            <w:vAlign w:val="center"/>
          </w:tcPr>
          <w:p w:rsidR="007D5590" w:rsidRDefault="007D5590" w:rsidP="00517ABD">
            <w:pPr>
              <w:jc w:val="center"/>
              <w:rPr>
                <w:rFonts w:cstheme="minorHAnsi"/>
              </w:rPr>
            </w:pPr>
            <w:r>
              <w:rPr>
                <w:rFonts w:cstheme="minorHAnsi"/>
              </w:rPr>
              <w:t>Članak 122.</w:t>
            </w:r>
            <w:r w:rsidR="0093004B">
              <w:rPr>
                <w:rFonts w:cstheme="minorHAnsi"/>
              </w:rPr>
              <w:t xml:space="preserve"> stavak 1. i 4.</w:t>
            </w:r>
            <w:r>
              <w:rPr>
                <w:rFonts w:cstheme="minorHAnsi"/>
              </w:rPr>
              <w:t xml:space="preserve"> Sudskog poslovnika</w:t>
            </w:r>
          </w:p>
        </w:tc>
        <w:tc>
          <w:tcPr>
            <w:tcW w:w="1495" w:type="pct"/>
            <w:vAlign w:val="center"/>
          </w:tcPr>
          <w:p w:rsidR="007D5590" w:rsidRPr="00782798" w:rsidRDefault="007D5590" w:rsidP="00C810C5">
            <w:pPr>
              <w:jc w:val="both"/>
              <w:rPr>
                <w:rFonts w:cstheme="minorHAnsi"/>
                <w:highlight w:val="yellow"/>
              </w:rPr>
            </w:pPr>
            <w:r w:rsidRPr="007D5590">
              <w:rPr>
                <w:rFonts w:cstheme="minorHAnsi"/>
              </w:rPr>
              <w:t>Predlaže se žurno postupanje u svim predmetima koji se odnose na ponavljanje postupka temeljem konačne presude Europskog suda</w:t>
            </w:r>
            <w:r>
              <w:rPr>
                <w:rFonts w:cstheme="minorHAnsi"/>
              </w:rPr>
              <w:t xml:space="preserve"> na način da se u članku 122. stavku 4. dodaju riječi „predmeti koji se odnose na ponavljanje postupka temeljem konačne presude Europskog suda“ te da se u istom članku stavku 1. dodaju riječi: „predmeti povrede spolne slobode“.</w:t>
            </w:r>
          </w:p>
        </w:tc>
        <w:tc>
          <w:tcPr>
            <w:tcW w:w="1622" w:type="pct"/>
          </w:tcPr>
          <w:p w:rsidR="007D5590" w:rsidRPr="007D5590" w:rsidRDefault="007D5590" w:rsidP="00935725">
            <w:pPr>
              <w:jc w:val="both"/>
              <w:rPr>
                <w:rFonts w:cstheme="minorHAnsi"/>
                <w:b/>
              </w:rPr>
            </w:pPr>
            <w:r w:rsidRPr="007D5590">
              <w:rPr>
                <w:rFonts w:cstheme="minorHAnsi"/>
                <w:b/>
              </w:rPr>
              <w:t>Prijedlog se prihvaća.</w:t>
            </w:r>
          </w:p>
        </w:tc>
      </w:tr>
      <w:tr w:rsidR="00D2394A" w:rsidRPr="000C6236" w:rsidTr="004C3EF2">
        <w:trPr>
          <w:trHeight w:val="880"/>
        </w:trPr>
        <w:tc>
          <w:tcPr>
            <w:tcW w:w="287" w:type="pct"/>
            <w:vAlign w:val="center"/>
          </w:tcPr>
          <w:p w:rsidR="00D2394A" w:rsidRDefault="00D2394A" w:rsidP="00466EA1">
            <w:pPr>
              <w:jc w:val="center"/>
              <w:rPr>
                <w:rFonts w:cstheme="minorHAnsi"/>
                <w:b/>
              </w:rPr>
            </w:pPr>
            <w:r>
              <w:rPr>
                <w:rFonts w:cstheme="minorHAnsi"/>
                <w:b/>
              </w:rPr>
              <w:t xml:space="preserve">12. </w:t>
            </w:r>
          </w:p>
        </w:tc>
        <w:tc>
          <w:tcPr>
            <w:tcW w:w="848" w:type="pct"/>
            <w:vAlign w:val="center"/>
          </w:tcPr>
          <w:p w:rsidR="00D2394A" w:rsidRPr="007D5590" w:rsidRDefault="00D2394A" w:rsidP="00466EA1">
            <w:pPr>
              <w:jc w:val="center"/>
              <w:rPr>
                <w:rFonts w:cstheme="minorHAnsi"/>
                <w:b/>
              </w:rPr>
            </w:pPr>
            <w:r>
              <w:rPr>
                <w:rFonts w:cstheme="minorHAnsi"/>
                <w:b/>
              </w:rPr>
              <w:t>ŽUPANIJSKI SUD U ZAGREBU</w:t>
            </w:r>
          </w:p>
        </w:tc>
        <w:tc>
          <w:tcPr>
            <w:tcW w:w="748" w:type="pct"/>
            <w:vAlign w:val="center"/>
          </w:tcPr>
          <w:p w:rsidR="00D2394A" w:rsidRDefault="00D2394A" w:rsidP="00517ABD">
            <w:pPr>
              <w:jc w:val="center"/>
              <w:rPr>
                <w:rFonts w:cstheme="minorHAnsi"/>
              </w:rPr>
            </w:pPr>
            <w:r>
              <w:rPr>
                <w:rFonts w:cstheme="minorHAnsi"/>
              </w:rPr>
              <w:t>Obrazac</w:t>
            </w:r>
            <w:r w:rsidR="003A04F6">
              <w:rPr>
                <w:rFonts w:cstheme="minorHAnsi"/>
              </w:rPr>
              <w:t xml:space="preserve"> iz članka 33. Zakona o sudovima</w:t>
            </w:r>
          </w:p>
        </w:tc>
        <w:tc>
          <w:tcPr>
            <w:tcW w:w="1495" w:type="pct"/>
            <w:vAlign w:val="center"/>
          </w:tcPr>
          <w:p w:rsidR="00D2394A" w:rsidRPr="007D5590" w:rsidRDefault="00D2394A" w:rsidP="00D2394A">
            <w:pPr>
              <w:jc w:val="both"/>
              <w:rPr>
                <w:rFonts w:cstheme="minorHAnsi"/>
              </w:rPr>
            </w:pPr>
            <w:r>
              <w:rPr>
                <w:rFonts w:cstheme="minorHAnsi"/>
              </w:rPr>
              <w:t>Nejasno je koji se podaci traže u Obrascu pod rubrikom „Stručno osposobljavanje i usavršavanje“ i pod rubrikom „Podaci o službenim putovanjima“ obzirom na to da se u obje navedene rubrike traže isti podaci.</w:t>
            </w:r>
          </w:p>
        </w:tc>
        <w:tc>
          <w:tcPr>
            <w:tcW w:w="1622" w:type="pct"/>
          </w:tcPr>
          <w:p w:rsidR="00087388" w:rsidRPr="007D5590" w:rsidRDefault="008364CB" w:rsidP="00D95FFF">
            <w:pPr>
              <w:jc w:val="both"/>
              <w:rPr>
                <w:rFonts w:cstheme="minorHAnsi"/>
                <w:b/>
              </w:rPr>
            </w:pPr>
            <w:r>
              <w:rPr>
                <w:rFonts w:cstheme="minorHAnsi"/>
                <w:b/>
              </w:rPr>
              <w:t>Primjedba se djelomično</w:t>
            </w:r>
            <w:r w:rsidR="00D2394A">
              <w:rPr>
                <w:rFonts w:cstheme="minorHAnsi"/>
                <w:b/>
              </w:rPr>
              <w:t xml:space="preserve"> prihvaća. </w:t>
            </w:r>
            <w:r w:rsidR="00087388">
              <w:rPr>
                <w:rFonts w:cstheme="minorHAnsi"/>
                <w:b/>
              </w:rPr>
              <w:t>Naime,</w:t>
            </w:r>
            <w:r w:rsidR="00D95FFF">
              <w:rPr>
                <w:rFonts w:cstheme="minorHAnsi"/>
                <w:b/>
              </w:rPr>
              <w:t xml:space="preserve"> podaci koji se traže nisu identični budući se</w:t>
            </w:r>
            <w:r w:rsidR="00087388">
              <w:rPr>
                <w:rFonts w:cstheme="minorHAnsi"/>
                <w:b/>
              </w:rPr>
              <w:t xml:space="preserve"> radi o dvije različite vrste troškova </w:t>
            </w:r>
            <w:r w:rsidR="00D95FFF">
              <w:rPr>
                <w:rFonts w:cstheme="minorHAnsi"/>
                <w:b/>
              </w:rPr>
              <w:t>koji se isplaćuju iz proračunskih sredstava suda. R</w:t>
            </w:r>
            <w:r>
              <w:rPr>
                <w:rFonts w:cstheme="minorHAnsi"/>
                <w:b/>
              </w:rPr>
              <w:t xml:space="preserve">ubriku </w:t>
            </w:r>
            <w:r w:rsidR="00D95FFF">
              <w:rPr>
                <w:rFonts w:cstheme="minorHAnsi"/>
                <w:b/>
              </w:rPr>
              <w:t>„</w:t>
            </w:r>
            <w:r w:rsidR="00087388">
              <w:rPr>
                <w:rFonts w:cstheme="minorHAnsi"/>
                <w:b/>
              </w:rPr>
              <w:t>stručno osposoblja</w:t>
            </w:r>
            <w:r>
              <w:rPr>
                <w:rFonts w:cstheme="minorHAnsi"/>
                <w:b/>
              </w:rPr>
              <w:t>vanje i usavršavanje</w:t>
            </w:r>
            <w:r w:rsidR="00D95FFF">
              <w:rPr>
                <w:rFonts w:cstheme="minorHAnsi"/>
                <w:b/>
              </w:rPr>
              <w:t>“</w:t>
            </w:r>
            <w:r>
              <w:rPr>
                <w:rFonts w:cstheme="minorHAnsi"/>
                <w:b/>
              </w:rPr>
              <w:t xml:space="preserve"> </w:t>
            </w:r>
            <w:r w:rsidR="00D95FFF">
              <w:rPr>
                <w:rFonts w:cstheme="minorHAnsi"/>
                <w:b/>
              </w:rPr>
              <w:t xml:space="preserve">radi jasnoće  potrebno je upotpuniti na način da se pored </w:t>
            </w:r>
            <w:r>
              <w:rPr>
                <w:rFonts w:cstheme="minorHAnsi"/>
                <w:b/>
              </w:rPr>
              <w:t xml:space="preserve"> imena polaznika, vrst</w:t>
            </w:r>
            <w:r w:rsidR="00D95FFF">
              <w:rPr>
                <w:rFonts w:cstheme="minorHAnsi"/>
                <w:b/>
              </w:rPr>
              <w:t>e</w:t>
            </w:r>
            <w:r>
              <w:rPr>
                <w:rFonts w:cstheme="minorHAnsi"/>
                <w:b/>
              </w:rPr>
              <w:t xml:space="preserve"> i trajanj</w:t>
            </w:r>
            <w:r w:rsidR="00D95FFF">
              <w:rPr>
                <w:rFonts w:cstheme="minorHAnsi"/>
                <w:b/>
              </w:rPr>
              <w:t>a</w:t>
            </w:r>
            <w:r>
              <w:rPr>
                <w:rFonts w:cstheme="minorHAnsi"/>
                <w:b/>
              </w:rPr>
              <w:t xml:space="preserve"> programa</w:t>
            </w:r>
            <w:r w:rsidR="00D95FFF">
              <w:rPr>
                <w:rFonts w:cstheme="minorHAnsi"/>
                <w:b/>
              </w:rPr>
              <w:t xml:space="preserve">, posebno naznače u rubrici „isplaćeni troškovi na teret suda“  troškovi </w:t>
            </w:r>
            <w:r w:rsidR="00087388">
              <w:rPr>
                <w:rFonts w:cstheme="minorHAnsi"/>
                <w:b/>
              </w:rPr>
              <w:t xml:space="preserve"> kotizacije i</w:t>
            </w:r>
            <w:r>
              <w:rPr>
                <w:rFonts w:cstheme="minorHAnsi"/>
                <w:b/>
              </w:rPr>
              <w:t xml:space="preserve"> </w:t>
            </w:r>
            <w:r w:rsidR="00D95FFF">
              <w:rPr>
                <w:rFonts w:cstheme="minorHAnsi"/>
                <w:b/>
              </w:rPr>
              <w:t>troškovi</w:t>
            </w:r>
            <w:r w:rsidR="00087388">
              <w:rPr>
                <w:rFonts w:cstheme="minorHAnsi"/>
                <w:b/>
              </w:rPr>
              <w:t xml:space="preserve"> polaganja stručnih ispita</w:t>
            </w:r>
            <w:r w:rsidR="00D95FFF">
              <w:rPr>
                <w:rFonts w:cstheme="minorHAnsi"/>
                <w:b/>
              </w:rPr>
              <w:t xml:space="preserve">, te da se u </w:t>
            </w:r>
            <w:r>
              <w:rPr>
                <w:rFonts w:cstheme="minorHAnsi"/>
                <w:b/>
              </w:rPr>
              <w:t xml:space="preserve">posebnu rubriku </w:t>
            </w:r>
            <w:r w:rsidR="00D95FFF">
              <w:rPr>
                <w:rFonts w:cstheme="minorHAnsi"/>
                <w:b/>
              </w:rPr>
              <w:t>unesu i podaci o onim</w:t>
            </w:r>
            <w:r>
              <w:rPr>
                <w:rFonts w:cstheme="minorHAnsi"/>
                <w:b/>
              </w:rPr>
              <w:t xml:space="preserve"> program</w:t>
            </w:r>
            <w:r w:rsidR="00D95FFF">
              <w:rPr>
                <w:rFonts w:cstheme="minorHAnsi"/>
                <w:b/>
              </w:rPr>
              <w:t>ima</w:t>
            </w:r>
            <w:r>
              <w:rPr>
                <w:rFonts w:cstheme="minorHAnsi"/>
                <w:b/>
              </w:rPr>
              <w:t xml:space="preserve"> edukacije za koje sud ne snosi trošak (npr. programi Pravosudne akademije i sl.)</w:t>
            </w:r>
            <w:r w:rsidR="00D95FFF">
              <w:rPr>
                <w:rFonts w:cstheme="minorHAnsi"/>
                <w:b/>
              </w:rPr>
              <w:t xml:space="preserve"> Istovremeno, </w:t>
            </w:r>
            <w:r>
              <w:rPr>
                <w:rFonts w:cstheme="minorHAnsi"/>
                <w:b/>
              </w:rPr>
              <w:t>u rubriku</w:t>
            </w:r>
            <w:r w:rsidR="00087388">
              <w:rPr>
                <w:rFonts w:cstheme="minorHAnsi"/>
                <w:b/>
              </w:rPr>
              <w:t xml:space="preserve"> </w:t>
            </w:r>
            <w:r w:rsidR="00D95FFF">
              <w:rPr>
                <w:rFonts w:cstheme="minorHAnsi"/>
                <w:b/>
              </w:rPr>
              <w:t>„</w:t>
            </w:r>
            <w:r w:rsidR="00087388">
              <w:rPr>
                <w:rFonts w:cstheme="minorHAnsi"/>
                <w:b/>
              </w:rPr>
              <w:t>službena putovanja</w:t>
            </w:r>
            <w:r w:rsidR="00D95FFF">
              <w:rPr>
                <w:rFonts w:cstheme="minorHAnsi"/>
                <w:b/>
              </w:rPr>
              <w:t>“</w:t>
            </w:r>
            <w:r>
              <w:rPr>
                <w:rFonts w:cstheme="minorHAnsi"/>
                <w:b/>
              </w:rPr>
              <w:t xml:space="preserve"> upisuju</w:t>
            </w:r>
            <w:r w:rsidR="00D95FFF">
              <w:rPr>
                <w:rFonts w:cstheme="minorHAnsi"/>
                <w:b/>
              </w:rPr>
              <w:t xml:space="preserve"> se </w:t>
            </w:r>
            <w:r>
              <w:rPr>
                <w:rFonts w:cstheme="minorHAnsi"/>
                <w:b/>
              </w:rPr>
              <w:t>podaci o isplaćenim</w:t>
            </w:r>
            <w:r w:rsidR="00087388">
              <w:rPr>
                <w:rFonts w:cstheme="minorHAnsi"/>
                <w:b/>
              </w:rPr>
              <w:t xml:space="preserve"> </w:t>
            </w:r>
            <w:r>
              <w:rPr>
                <w:rFonts w:cstheme="minorHAnsi"/>
                <w:b/>
              </w:rPr>
              <w:t xml:space="preserve">naknadama </w:t>
            </w:r>
            <w:r w:rsidR="00087388">
              <w:rPr>
                <w:rFonts w:cstheme="minorHAnsi"/>
                <w:b/>
              </w:rPr>
              <w:t>troškova</w:t>
            </w:r>
            <w:r>
              <w:rPr>
                <w:rFonts w:cstheme="minorHAnsi"/>
                <w:b/>
              </w:rPr>
              <w:t xml:space="preserve"> po</w:t>
            </w:r>
            <w:r w:rsidR="00087388">
              <w:rPr>
                <w:rFonts w:cstheme="minorHAnsi"/>
                <w:b/>
              </w:rPr>
              <w:t xml:space="preserve"> putni</w:t>
            </w:r>
            <w:r>
              <w:rPr>
                <w:rFonts w:cstheme="minorHAnsi"/>
                <w:b/>
              </w:rPr>
              <w:t>m</w:t>
            </w:r>
            <w:r w:rsidR="00087388">
              <w:rPr>
                <w:rFonts w:cstheme="minorHAnsi"/>
                <w:b/>
              </w:rPr>
              <w:t xml:space="preserve"> nalo</w:t>
            </w:r>
            <w:r>
              <w:rPr>
                <w:rFonts w:cstheme="minorHAnsi"/>
                <w:b/>
              </w:rPr>
              <w:t>zima</w:t>
            </w:r>
            <w:r w:rsidR="00087388">
              <w:rPr>
                <w:rFonts w:cstheme="minorHAnsi"/>
                <w:b/>
              </w:rPr>
              <w:t xml:space="preserve"> ( dnevnice i noćenje s doručkom).</w:t>
            </w:r>
          </w:p>
        </w:tc>
      </w:tr>
    </w:tbl>
    <w:p w:rsidR="003F3E97" w:rsidRDefault="003F3E97"/>
    <w:sectPr w:rsidR="003F3E97" w:rsidSect="00576AB8">
      <w:footerReference w:type="default" r:id="rId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846" w:rsidRDefault="003B4846" w:rsidP="003E7FA9">
      <w:pPr>
        <w:spacing w:after="0" w:line="240" w:lineRule="auto"/>
      </w:pPr>
      <w:r>
        <w:separator/>
      </w:r>
    </w:p>
  </w:endnote>
  <w:endnote w:type="continuationSeparator" w:id="0">
    <w:p w:rsidR="003B4846" w:rsidRDefault="003B4846" w:rsidP="003E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302872"/>
      <w:docPartObj>
        <w:docPartGallery w:val="Page Numbers (Bottom of Page)"/>
        <w:docPartUnique/>
      </w:docPartObj>
    </w:sdtPr>
    <w:sdtEndPr/>
    <w:sdtContent>
      <w:p w:rsidR="006E0F6F" w:rsidRDefault="006E0F6F" w:rsidP="003E7FA9">
        <w:pPr>
          <w:pStyle w:val="Podnoje"/>
          <w:jc w:val="right"/>
        </w:pPr>
        <w:r>
          <w:fldChar w:fldCharType="begin"/>
        </w:r>
        <w:r>
          <w:instrText>PAGE   \* MERGEFORMAT</w:instrText>
        </w:r>
        <w:r>
          <w:fldChar w:fldCharType="separate"/>
        </w:r>
        <w:r w:rsidR="003B4846">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846" w:rsidRDefault="003B4846" w:rsidP="003E7FA9">
      <w:pPr>
        <w:spacing w:after="0" w:line="240" w:lineRule="auto"/>
      </w:pPr>
      <w:r>
        <w:separator/>
      </w:r>
    </w:p>
  </w:footnote>
  <w:footnote w:type="continuationSeparator" w:id="0">
    <w:p w:rsidR="003B4846" w:rsidRDefault="003B4846" w:rsidP="003E7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D4304"/>
    <w:multiLevelType w:val="hybridMultilevel"/>
    <w:tmpl w:val="2260327A"/>
    <w:lvl w:ilvl="0" w:tplc="21F05EA4">
      <w:start w:val="1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A656920"/>
    <w:multiLevelType w:val="hybridMultilevel"/>
    <w:tmpl w:val="0E589AEA"/>
    <w:lvl w:ilvl="0" w:tplc="6CDC986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97"/>
    <w:rsid w:val="00000D37"/>
    <w:rsid w:val="00010D21"/>
    <w:rsid w:val="00020C97"/>
    <w:rsid w:val="000232B8"/>
    <w:rsid w:val="0003692F"/>
    <w:rsid w:val="00045EB4"/>
    <w:rsid w:val="00047B41"/>
    <w:rsid w:val="0005742A"/>
    <w:rsid w:val="0006012A"/>
    <w:rsid w:val="00063395"/>
    <w:rsid w:val="00070EF7"/>
    <w:rsid w:val="00087388"/>
    <w:rsid w:val="0009633F"/>
    <w:rsid w:val="000A3964"/>
    <w:rsid w:val="000A716F"/>
    <w:rsid w:val="000A7263"/>
    <w:rsid w:val="000B3440"/>
    <w:rsid w:val="000B701B"/>
    <w:rsid w:val="000C6236"/>
    <w:rsid w:val="000C682C"/>
    <w:rsid w:val="000C6952"/>
    <w:rsid w:val="000D46B5"/>
    <w:rsid w:val="000F69FB"/>
    <w:rsid w:val="001050BA"/>
    <w:rsid w:val="00115DBD"/>
    <w:rsid w:val="00115EC1"/>
    <w:rsid w:val="00123915"/>
    <w:rsid w:val="001254FC"/>
    <w:rsid w:val="001266A8"/>
    <w:rsid w:val="001470D1"/>
    <w:rsid w:val="00176A2B"/>
    <w:rsid w:val="001907A3"/>
    <w:rsid w:val="00193F15"/>
    <w:rsid w:val="00194176"/>
    <w:rsid w:val="001A314C"/>
    <w:rsid w:val="001A44C9"/>
    <w:rsid w:val="001B3B9C"/>
    <w:rsid w:val="001B5CB9"/>
    <w:rsid w:val="001D18FD"/>
    <w:rsid w:val="001F75A3"/>
    <w:rsid w:val="002026ED"/>
    <w:rsid w:val="002047CE"/>
    <w:rsid w:val="00212656"/>
    <w:rsid w:val="002162D3"/>
    <w:rsid w:val="00237A82"/>
    <w:rsid w:val="00241DC7"/>
    <w:rsid w:val="00244975"/>
    <w:rsid w:val="002710A6"/>
    <w:rsid w:val="00274EED"/>
    <w:rsid w:val="00275AD2"/>
    <w:rsid w:val="00291D11"/>
    <w:rsid w:val="002A0BEA"/>
    <w:rsid w:val="002B0BDD"/>
    <w:rsid w:val="002C2B3F"/>
    <w:rsid w:val="002D3FEB"/>
    <w:rsid w:val="002E2668"/>
    <w:rsid w:val="002E676C"/>
    <w:rsid w:val="002E7CE5"/>
    <w:rsid w:val="003074C1"/>
    <w:rsid w:val="00313067"/>
    <w:rsid w:val="003266EF"/>
    <w:rsid w:val="0033281B"/>
    <w:rsid w:val="00350952"/>
    <w:rsid w:val="00356145"/>
    <w:rsid w:val="00363B8B"/>
    <w:rsid w:val="00363F3B"/>
    <w:rsid w:val="0036608D"/>
    <w:rsid w:val="00370F42"/>
    <w:rsid w:val="0037728D"/>
    <w:rsid w:val="003A04F6"/>
    <w:rsid w:val="003A3FDF"/>
    <w:rsid w:val="003A683D"/>
    <w:rsid w:val="003A6A67"/>
    <w:rsid w:val="003B05B3"/>
    <w:rsid w:val="003B2E5F"/>
    <w:rsid w:val="003B4846"/>
    <w:rsid w:val="003D2F58"/>
    <w:rsid w:val="003D338B"/>
    <w:rsid w:val="003D63B6"/>
    <w:rsid w:val="003E0060"/>
    <w:rsid w:val="003E043B"/>
    <w:rsid w:val="003E7FA9"/>
    <w:rsid w:val="003F3E97"/>
    <w:rsid w:val="0041317C"/>
    <w:rsid w:val="00415610"/>
    <w:rsid w:val="00421419"/>
    <w:rsid w:val="00423249"/>
    <w:rsid w:val="004404DD"/>
    <w:rsid w:val="00466EA1"/>
    <w:rsid w:val="00470B9E"/>
    <w:rsid w:val="00472C46"/>
    <w:rsid w:val="00477579"/>
    <w:rsid w:val="00491E74"/>
    <w:rsid w:val="00496F23"/>
    <w:rsid w:val="004C16F5"/>
    <w:rsid w:val="004C3EF2"/>
    <w:rsid w:val="004E193F"/>
    <w:rsid w:val="004E2A87"/>
    <w:rsid w:val="004E2E2E"/>
    <w:rsid w:val="004E5CCD"/>
    <w:rsid w:val="004E7911"/>
    <w:rsid w:val="004F420D"/>
    <w:rsid w:val="00501A82"/>
    <w:rsid w:val="005112B6"/>
    <w:rsid w:val="005118EE"/>
    <w:rsid w:val="00512192"/>
    <w:rsid w:val="00515C59"/>
    <w:rsid w:val="0051635A"/>
    <w:rsid w:val="00517ABD"/>
    <w:rsid w:val="00537F8D"/>
    <w:rsid w:val="0055312D"/>
    <w:rsid w:val="00576AB8"/>
    <w:rsid w:val="0058102F"/>
    <w:rsid w:val="005876E6"/>
    <w:rsid w:val="0059238C"/>
    <w:rsid w:val="005A1DFA"/>
    <w:rsid w:val="005E0566"/>
    <w:rsid w:val="005F07E5"/>
    <w:rsid w:val="006037F5"/>
    <w:rsid w:val="00633C31"/>
    <w:rsid w:val="006364CC"/>
    <w:rsid w:val="00642EA3"/>
    <w:rsid w:val="006449E8"/>
    <w:rsid w:val="00645D39"/>
    <w:rsid w:val="00667E9F"/>
    <w:rsid w:val="00670B93"/>
    <w:rsid w:val="00676C48"/>
    <w:rsid w:val="006859FB"/>
    <w:rsid w:val="0068619F"/>
    <w:rsid w:val="00695714"/>
    <w:rsid w:val="006B671E"/>
    <w:rsid w:val="006B74AB"/>
    <w:rsid w:val="006C44B6"/>
    <w:rsid w:val="006E0F6F"/>
    <w:rsid w:val="006E5681"/>
    <w:rsid w:val="006F46BA"/>
    <w:rsid w:val="006F7663"/>
    <w:rsid w:val="00704C7E"/>
    <w:rsid w:val="00710690"/>
    <w:rsid w:val="007111EE"/>
    <w:rsid w:val="0071405E"/>
    <w:rsid w:val="007148DB"/>
    <w:rsid w:val="00717164"/>
    <w:rsid w:val="00741C47"/>
    <w:rsid w:val="007437F7"/>
    <w:rsid w:val="007440A2"/>
    <w:rsid w:val="007457DA"/>
    <w:rsid w:val="00750DEC"/>
    <w:rsid w:val="00750FAB"/>
    <w:rsid w:val="00760080"/>
    <w:rsid w:val="0076737E"/>
    <w:rsid w:val="00767FE2"/>
    <w:rsid w:val="00780B71"/>
    <w:rsid w:val="00782798"/>
    <w:rsid w:val="00794AD5"/>
    <w:rsid w:val="00794EE3"/>
    <w:rsid w:val="007A185C"/>
    <w:rsid w:val="007B2890"/>
    <w:rsid w:val="007C0F3F"/>
    <w:rsid w:val="007C6332"/>
    <w:rsid w:val="007D19C0"/>
    <w:rsid w:val="007D5590"/>
    <w:rsid w:val="007E1993"/>
    <w:rsid w:val="007F2778"/>
    <w:rsid w:val="007F7015"/>
    <w:rsid w:val="00800159"/>
    <w:rsid w:val="0080557D"/>
    <w:rsid w:val="00830A70"/>
    <w:rsid w:val="0083297E"/>
    <w:rsid w:val="008364CB"/>
    <w:rsid w:val="00851FE7"/>
    <w:rsid w:val="00867E48"/>
    <w:rsid w:val="008764D8"/>
    <w:rsid w:val="00876DC1"/>
    <w:rsid w:val="00880BA1"/>
    <w:rsid w:val="008859C6"/>
    <w:rsid w:val="00890B68"/>
    <w:rsid w:val="008A146C"/>
    <w:rsid w:val="008B0029"/>
    <w:rsid w:val="008B05AB"/>
    <w:rsid w:val="008B3715"/>
    <w:rsid w:val="008C1715"/>
    <w:rsid w:val="008D7D23"/>
    <w:rsid w:val="008E1794"/>
    <w:rsid w:val="008F381D"/>
    <w:rsid w:val="008F47F0"/>
    <w:rsid w:val="009014CC"/>
    <w:rsid w:val="00903396"/>
    <w:rsid w:val="009214AD"/>
    <w:rsid w:val="0093004B"/>
    <w:rsid w:val="00935725"/>
    <w:rsid w:val="00947A54"/>
    <w:rsid w:val="00952232"/>
    <w:rsid w:val="009705E7"/>
    <w:rsid w:val="00974A88"/>
    <w:rsid w:val="00993926"/>
    <w:rsid w:val="00994604"/>
    <w:rsid w:val="00997A23"/>
    <w:rsid w:val="009B3EAA"/>
    <w:rsid w:val="009B5695"/>
    <w:rsid w:val="009C4899"/>
    <w:rsid w:val="009C4C0C"/>
    <w:rsid w:val="009D3662"/>
    <w:rsid w:val="009E6D28"/>
    <w:rsid w:val="009F53AC"/>
    <w:rsid w:val="00A04553"/>
    <w:rsid w:val="00A062CA"/>
    <w:rsid w:val="00A14E6C"/>
    <w:rsid w:val="00A15497"/>
    <w:rsid w:val="00A24B2D"/>
    <w:rsid w:val="00A25B12"/>
    <w:rsid w:val="00A418B9"/>
    <w:rsid w:val="00A43B00"/>
    <w:rsid w:val="00A44985"/>
    <w:rsid w:val="00A46080"/>
    <w:rsid w:val="00A621AF"/>
    <w:rsid w:val="00A876B5"/>
    <w:rsid w:val="00AA24DE"/>
    <w:rsid w:val="00AA5174"/>
    <w:rsid w:val="00AC51FF"/>
    <w:rsid w:val="00AD6D36"/>
    <w:rsid w:val="00AE1AD1"/>
    <w:rsid w:val="00B00435"/>
    <w:rsid w:val="00B01E49"/>
    <w:rsid w:val="00B1607A"/>
    <w:rsid w:val="00B25A7F"/>
    <w:rsid w:val="00B2664C"/>
    <w:rsid w:val="00B27BA2"/>
    <w:rsid w:val="00B47C4A"/>
    <w:rsid w:val="00B5034B"/>
    <w:rsid w:val="00B50F1B"/>
    <w:rsid w:val="00B52410"/>
    <w:rsid w:val="00B641E0"/>
    <w:rsid w:val="00B65C6D"/>
    <w:rsid w:val="00B67F37"/>
    <w:rsid w:val="00B718B2"/>
    <w:rsid w:val="00B72729"/>
    <w:rsid w:val="00B7564C"/>
    <w:rsid w:val="00B830BB"/>
    <w:rsid w:val="00B85ACF"/>
    <w:rsid w:val="00B90153"/>
    <w:rsid w:val="00B918DB"/>
    <w:rsid w:val="00B91CD1"/>
    <w:rsid w:val="00B92AFE"/>
    <w:rsid w:val="00B94D48"/>
    <w:rsid w:val="00BA3B04"/>
    <w:rsid w:val="00BB1DDC"/>
    <w:rsid w:val="00BB2F6E"/>
    <w:rsid w:val="00BB633E"/>
    <w:rsid w:val="00BB6EA4"/>
    <w:rsid w:val="00BD1338"/>
    <w:rsid w:val="00BE17E9"/>
    <w:rsid w:val="00BF0AA2"/>
    <w:rsid w:val="00BF2146"/>
    <w:rsid w:val="00C15382"/>
    <w:rsid w:val="00C15CBE"/>
    <w:rsid w:val="00C21B3D"/>
    <w:rsid w:val="00C3099F"/>
    <w:rsid w:val="00C4637E"/>
    <w:rsid w:val="00C6769A"/>
    <w:rsid w:val="00C70CF8"/>
    <w:rsid w:val="00C943EA"/>
    <w:rsid w:val="00C97E27"/>
    <w:rsid w:val="00CA6A00"/>
    <w:rsid w:val="00CA73B0"/>
    <w:rsid w:val="00CC67F7"/>
    <w:rsid w:val="00CD15B6"/>
    <w:rsid w:val="00CE1177"/>
    <w:rsid w:val="00CE3D71"/>
    <w:rsid w:val="00CF371F"/>
    <w:rsid w:val="00CF436B"/>
    <w:rsid w:val="00D02136"/>
    <w:rsid w:val="00D11020"/>
    <w:rsid w:val="00D21D37"/>
    <w:rsid w:val="00D2394A"/>
    <w:rsid w:val="00D24072"/>
    <w:rsid w:val="00D24C38"/>
    <w:rsid w:val="00D24FFD"/>
    <w:rsid w:val="00D30C53"/>
    <w:rsid w:val="00D3308E"/>
    <w:rsid w:val="00D3315D"/>
    <w:rsid w:val="00D82306"/>
    <w:rsid w:val="00D85FEF"/>
    <w:rsid w:val="00D874C6"/>
    <w:rsid w:val="00D913AA"/>
    <w:rsid w:val="00D95FFF"/>
    <w:rsid w:val="00DA29ED"/>
    <w:rsid w:val="00DA55F4"/>
    <w:rsid w:val="00DB2F39"/>
    <w:rsid w:val="00DB35A0"/>
    <w:rsid w:val="00DD3C2D"/>
    <w:rsid w:val="00DD7AD7"/>
    <w:rsid w:val="00DE2AE8"/>
    <w:rsid w:val="00DE2F31"/>
    <w:rsid w:val="00DF2975"/>
    <w:rsid w:val="00E04489"/>
    <w:rsid w:val="00E11292"/>
    <w:rsid w:val="00E15281"/>
    <w:rsid w:val="00E262E2"/>
    <w:rsid w:val="00E37336"/>
    <w:rsid w:val="00E440ED"/>
    <w:rsid w:val="00E5237B"/>
    <w:rsid w:val="00E56D07"/>
    <w:rsid w:val="00E62051"/>
    <w:rsid w:val="00E638B7"/>
    <w:rsid w:val="00E82320"/>
    <w:rsid w:val="00E97083"/>
    <w:rsid w:val="00EA144A"/>
    <w:rsid w:val="00EB75EB"/>
    <w:rsid w:val="00EC3B7B"/>
    <w:rsid w:val="00ED7358"/>
    <w:rsid w:val="00F02C5C"/>
    <w:rsid w:val="00F113A2"/>
    <w:rsid w:val="00F120E3"/>
    <w:rsid w:val="00F23B2B"/>
    <w:rsid w:val="00F3088E"/>
    <w:rsid w:val="00F3458A"/>
    <w:rsid w:val="00F367A8"/>
    <w:rsid w:val="00F52EF2"/>
    <w:rsid w:val="00F9216E"/>
    <w:rsid w:val="00FB2E26"/>
    <w:rsid w:val="00FB3D84"/>
    <w:rsid w:val="00FC1E38"/>
    <w:rsid w:val="00FD0424"/>
    <w:rsid w:val="00FE1291"/>
    <w:rsid w:val="00FE18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3F3E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rednjesjenanje1-Isticanje1">
    <w:name w:val="Medium Shading 1 Accent 1"/>
    <w:basedOn w:val="Obinatablica"/>
    <w:uiPriority w:val="63"/>
    <w:rsid w:val="003F3E9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ekstbalonia">
    <w:name w:val="Balloon Text"/>
    <w:basedOn w:val="Normal"/>
    <w:link w:val="TekstbaloniaChar"/>
    <w:uiPriority w:val="99"/>
    <w:semiHidden/>
    <w:unhideWhenUsed/>
    <w:rsid w:val="00CF436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F436B"/>
    <w:rPr>
      <w:rFonts w:ascii="Tahoma" w:hAnsi="Tahoma" w:cs="Tahoma"/>
      <w:sz w:val="16"/>
      <w:szCs w:val="16"/>
    </w:rPr>
  </w:style>
  <w:style w:type="paragraph" w:styleId="Odlomakpopisa">
    <w:name w:val="List Paragraph"/>
    <w:basedOn w:val="Normal"/>
    <w:uiPriority w:val="34"/>
    <w:qFormat/>
    <w:rsid w:val="00667E9F"/>
    <w:pPr>
      <w:ind w:left="720"/>
      <w:contextualSpacing/>
    </w:pPr>
  </w:style>
  <w:style w:type="paragraph" w:styleId="Zaglavlje">
    <w:name w:val="header"/>
    <w:basedOn w:val="Normal"/>
    <w:link w:val="ZaglavljeChar"/>
    <w:uiPriority w:val="99"/>
    <w:unhideWhenUsed/>
    <w:rsid w:val="003E7FA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E7FA9"/>
  </w:style>
  <w:style w:type="paragraph" w:styleId="Podnoje">
    <w:name w:val="footer"/>
    <w:basedOn w:val="Normal"/>
    <w:link w:val="PodnojeChar"/>
    <w:uiPriority w:val="99"/>
    <w:unhideWhenUsed/>
    <w:rsid w:val="003E7FA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E7FA9"/>
  </w:style>
  <w:style w:type="paragraph" w:customStyle="1" w:styleId="t-9-8">
    <w:name w:val="t-9-8"/>
    <w:basedOn w:val="Normal"/>
    <w:rsid w:val="00670B9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3F3E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rednjesjenanje1-Isticanje1">
    <w:name w:val="Medium Shading 1 Accent 1"/>
    <w:basedOn w:val="Obinatablica"/>
    <w:uiPriority w:val="63"/>
    <w:rsid w:val="003F3E9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ekstbalonia">
    <w:name w:val="Balloon Text"/>
    <w:basedOn w:val="Normal"/>
    <w:link w:val="TekstbaloniaChar"/>
    <w:uiPriority w:val="99"/>
    <w:semiHidden/>
    <w:unhideWhenUsed/>
    <w:rsid w:val="00CF436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F436B"/>
    <w:rPr>
      <w:rFonts w:ascii="Tahoma" w:hAnsi="Tahoma" w:cs="Tahoma"/>
      <w:sz w:val="16"/>
      <w:szCs w:val="16"/>
    </w:rPr>
  </w:style>
  <w:style w:type="paragraph" w:styleId="Odlomakpopisa">
    <w:name w:val="List Paragraph"/>
    <w:basedOn w:val="Normal"/>
    <w:uiPriority w:val="34"/>
    <w:qFormat/>
    <w:rsid w:val="00667E9F"/>
    <w:pPr>
      <w:ind w:left="720"/>
      <w:contextualSpacing/>
    </w:pPr>
  </w:style>
  <w:style w:type="paragraph" w:styleId="Zaglavlje">
    <w:name w:val="header"/>
    <w:basedOn w:val="Normal"/>
    <w:link w:val="ZaglavljeChar"/>
    <w:uiPriority w:val="99"/>
    <w:unhideWhenUsed/>
    <w:rsid w:val="003E7FA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E7FA9"/>
  </w:style>
  <w:style w:type="paragraph" w:styleId="Podnoje">
    <w:name w:val="footer"/>
    <w:basedOn w:val="Normal"/>
    <w:link w:val="PodnojeChar"/>
    <w:uiPriority w:val="99"/>
    <w:unhideWhenUsed/>
    <w:rsid w:val="003E7FA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E7FA9"/>
  </w:style>
  <w:style w:type="paragraph" w:customStyle="1" w:styleId="t-9-8">
    <w:name w:val="t-9-8"/>
    <w:basedOn w:val="Normal"/>
    <w:rsid w:val="00670B9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2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B09F-D700-41D5-BB90-ACDE3112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2548</Words>
  <Characters>14524</Characters>
  <Application>Microsoft Office Word</Application>
  <DocSecurity>0</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17038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Nikolina Milić</cp:lastModifiedBy>
  <cp:revision>4</cp:revision>
  <cp:lastPrinted>2014-05-06T11:24:00Z</cp:lastPrinted>
  <dcterms:created xsi:type="dcterms:W3CDTF">2015-03-24T09:52:00Z</dcterms:created>
  <dcterms:modified xsi:type="dcterms:W3CDTF">2015-03-24T11:17:00Z</dcterms:modified>
</cp:coreProperties>
</file>