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33" w:rsidRPr="008C0BEC" w:rsidRDefault="008D5E33" w:rsidP="008D5E33">
      <w:pPr>
        <w:tabs>
          <w:tab w:val="left" w:pos="0"/>
          <w:tab w:val="left" w:pos="720"/>
          <w:tab w:val="left" w:pos="1080"/>
        </w:tabs>
        <w:jc w:val="center"/>
        <w:rPr>
          <w:b/>
          <w:bCs/>
          <w:lang w:val="en-US"/>
        </w:rPr>
      </w:pPr>
      <w:r w:rsidRPr="008C0BEC">
        <w:rPr>
          <w:b/>
          <w:bCs/>
          <w:lang w:val="en-US"/>
        </w:rPr>
        <w:t>Terms of Reference and Scope of Services</w:t>
      </w:r>
    </w:p>
    <w:p w:rsidR="008D5E33" w:rsidRPr="008C0BEC" w:rsidRDefault="008D5E33" w:rsidP="008D5E33">
      <w:pPr>
        <w:tabs>
          <w:tab w:val="left" w:pos="0"/>
          <w:tab w:val="left" w:pos="720"/>
          <w:tab w:val="left" w:pos="1080"/>
        </w:tabs>
        <w:jc w:val="both"/>
        <w:rPr>
          <w:lang w:val="en-US"/>
        </w:rPr>
      </w:pPr>
    </w:p>
    <w:p w:rsidR="008D5E33" w:rsidRPr="008C0BEC" w:rsidRDefault="008D5E33" w:rsidP="008D5E33">
      <w:pPr>
        <w:pStyle w:val="Heading5"/>
        <w:rPr>
          <w:rFonts w:ascii="Times New Roman" w:hAnsi="Times New Roman"/>
          <w:sz w:val="22"/>
          <w:szCs w:val="22"/>
        </w:rPr>
      </w:pPr>
      <w:smartTag w:uri="urn:schemas-microsoft-com:office:smarttags" w:element="place">
        <w:smartTag w:uri="urn:schemas-microsoft-com:office:smarttags" w:element="PlaceType">
          <w:r w:rsidRPr="008C0BEC">
            <w:rPr>
              <w:rFonts w:ascii="Times New Roman" w:hAnsi="Times New Roman"/>
              <w:sz w:val="22"/>
              <w:szCs w:val="22"/>
            </w:rPr>
            <w:t>REPUBLIC</w:t>
          </w:r>
        </w:smartTag>
        <w:r w:rsidRPr="008C0BEC">
          <w:rPr>
            <w:rFonts w:ascii="Times New Roman" w:hAnsi="Times New Roman"/>
            <w:sz w:val="22"/>
            <w:szCs w:val="22"/>
          </w:rPr>
          <w:t xml:space="preserve"> OF </w:t>
        </w:r>
        <w:smartTag w:uri="urn:schemas-microsoft-com:office:smarttags" w:element="PlaceName">
          <w:r w:rsidRPr="008C0BEC">
            <w:rPr>
              <w:rFonts w:ascii="Times New Roman" w:hAnsi="Times New Roman"/>
              <w:sz w:val="22"/>
              <w:szCs w:val="22"/>
            </w:rPr>
            <w:t>CROATIA</w:t>
          </w:r>
        </w:smartTag>
      </w:smartTag>
    </w:p>
    <w:p w:rsidR="008D5E33" w:rsidRPr="008C0BEC" w:rsidRDefault="008D5E33" w:rsidP="008D5E33">
      <w:pPr>
        <w:pStyle w:val="Heading4"/>
        <w:rPr>
          <w:rFonts w:ascii="Times New Roman" w:hAnsi="Times New Roman"/>
          <w:b/>
          <w:bCs/>
          <w:szCs w:val="22"/>
        </w:rPr>
      </w:pPr>
      <w:r w:rsidRPr="008C0BEC">
        <w:rPr>
          <w:rFonts w:ascii="Times New Roman" w:hAnsi="Times New Roman"/>
          <w:b/>
          <w:bCs/>
          <w:szCs w:val="22"/>
        </w:rPr>
        <w:t>Ministry of Justice</w:t>
      </w:r>
    </w:p>
    <w:p w:rsidR="008D5E33" w:rsidRPr="008C0BEC" w:rsidRDefault="008D5E33" w:rsidP="008D5E33">
      <w:pPr>
        <w:pStyle w:val="Heading5"/>
        <w:rPr>
          <w:rFonts w:ascii="Times New Roman" w:hAnsi="Times New Roman"/>
          <w:sz w:val="22"/>
          <w:szCs w:val="22"/>
        </w:rPr>
      </w:pPr>
    </w:p>
    <w:p w:rsidR="008D5E33" w:rsidRPr="008C0BEC" w:rsidRDefault="008D5E33" w:rsidP="008D5E33">
      <w:pPr>
        <w:pStyle w:val="Heading5"/>
        <w:rPr>
          <w:rFonts w:ascii="Times New Roman" w:hAnsi="Times New Roman"/>
          <w:sz w:val="22"/>
          <w:szCs w:val="22"/>
        </w:rPr>
      </w:pPr>
      <w:r w:rsidRPr="008C0BEC">
        <w:rPr>
          <w:rFonts w:ascii="Times New Roman" w:hAnsi="Times New Roman"/>
          <w:sz w:val="22"/>
          <w:szCs w:val="22"/>
        </w:rPr>
        <w:t>JU</w:t>
      </w:r>
      <w:r w:rsidR="007A624D" w:rsidRPr="008C0BEC">
        <w:rPr>
          <w:rFonts w:ascii="Times New Roman" w:hAnsi="Times New Roman"/>
          <w:sz w:val="22"/>
          <w:szCs w:val="22"/>
        </w:rPr>
        <w:t>STICE SECTOR SUPPORT PROJECT (JSSP)</w:t>
      </w:r>
      <w:r w:rsidRPr="008C0BEC">
        <w:rPr>
          <w:rFonts w:ascii="Times New Roman" w:hAnsi="Times New Roman"/>
          <w:sz w:val="22"/>
          <w:szCs w:val="22"/>
        </w:rPr>
        <w:t xml:space="preserve">  </w:t>
      </w:r>
    </w:p>
    <w:p w:rsidR="008D5E33" w:rsidRPr="008C0BEC" w:rsidRDefault="007A624D" w:rsidP="008D5E33">
      <w:pPr>
        <w:jc w:val="center"/>
        <w:rPr>
          <w:b/>
          <w:lang w:val="en-US" w:eastAsia="hr-HR"/>
        </w:rPr>
      </w:pPr>
      <w:r w:rsidRPr="008C0BEC">
        <w:rPr>
          <w:b/>
          <w:lang w:val="en-US" w:eastAsia="hr-HR"/>
        </w:rPr>
        <w:t>IBRD Loan No. 78880</w:t>
      </w:r>
      <w:r w:rsidR="008D5E33" w:rsidRPr="008C0BEC">
        <w:rPr>
          <w:b/>
          <w:lang w:val="en-US" w:eastAsia="hr-HR"/>
        </w:rPr>
        <w:t>-HR</w:t>
      </w:r>
    </w:p>
    <w:p w:rsidR="008D5E33" w:rsidRPr="008C0BEC" w:rsidRDefault="008D5E33" w:rsidP="008D5E33">
      <w:pPr>
        <w:jc w:val="center"/>
        <w:rPr>
          <w:b/>
          <w:lang w:val="en-US" w:eastAsia="hr-HR"/>
        </w:rPr>
      </w:pPr>
    </w:p>
    <w:p w:rsidR="008D5E33" w:rsidRPr="008C0BEC" w:rsidRDefault="008D5E33" w:rsidP="008D5E33">
      <w:pPr>
        <w:pStyle w:val="Heading4"/>
        <w:tabs>
          <w:tab w:val="clear" w:pos="0"/>
        </w:tabs>
        <w:rPr>
          <w:rFonts w:ascii="Times New Roman" w:hAnsi="Times New Roman"/>
          <w:b/>
          <w:sz w:val="22"/>
          <w:szCs w:val="22"/>
        </w:rPr>
      </w:pPr>
      <w:r w:rsidRPr="008C0BEC">
        <w:rPr>
          <w:rFonts w:ascii="Times New Roman" w:hAnsi="Times New Roman"/>
          <w:b/>
          <w:sz w:val="22"/>
          <w:szCs w:val="22"/>
        </w:rPr>
        <w:t>Consulting services</w:t>
      </w:r>
    </w:p>
    <w:p w:rsidR="008D5E33" w:rsidRDefault="008D5E33" w:rsidP="008D5E33">
      <w:pPr>
        <w:jc w:val="center"/>
        <w:rPr>
          <w:lang w:val="en-US" w:eastAsia="hr-HR"/>
        </w:rPr>
      </w:pPr>
      <w:r w:rsidRPr="008C0BEC">
        <w:rPr>
          <w:lang w:val="en-US" w:eastAsia="hr-HR"/>
        </w:rPr>
        <w:t>for</w:t>
      </w:r>
    </w:p>
    <w:p w:rsidR="00864E04" w:rsidRDefault="002D4E73" w:rsidP="008074BB">
      <w:pPr>
        <w:suppressAutoHyphens/>
        <w:jc w:val="center"/>
        <w:rPr>
          <w:b/>
          <w:spacing w:val="-2"/>
          <w:szCs w:val="24"/>
        </w:rPr>
      </w:pPr>
      <w:r>
        <w:rPr>
          <w:b/>
          <w:spacing w:val="-2"/>
          <w:szCs w:val="24"/>
        </w:rPr>
        <w:t xml:space="preserve">Preparing the Design Documentation and Technical Specifications </w:t>
      </w:r>
    </w:p>
    <w:p w:rsidR="00864E04" w:rsidRDefault="002D4E73" w:rsidP="008074BB">
      <w:pPr>
        <w:suppressAutoHyphens/>
        <w:jc w:val="center"/>
        <w:rPr>
          <w:b/>
          <w:spacing w:val="-2"/>
          <w:szCs w:val="24"/>
        </w:rPr>
      </w:pPr>
      <w:r>
        <w:rPr>
          <w:b/>
          <w:spacing w:val="-2"/>
          <w:szCs w:val="24"/>
        </w:rPr>
        <w:t xml:space="preserve">for </w:t>
      </w:r>
      <w:r w:rsidR="00864E04">
        <w:rPr>
          <w:b/>
          <w:spacing w:val="-2"/>
          <w:szCs w:val="24"/>
        </w:rPr>
        <w:t xml:space="preserve">the </w:t>
      </w:r>
      <w:r>
        <w:rPr>
          <w:b/>
          <w:spacing w:val="-2"/>
          <w:szCs w:val="24"/>
        </w:rPr>
        <w:t xml:space="preserve">Supply and Installation of Security Equipment </w:t>
      </w:r>
    </w:p>
    <w:p w:rsidR="008074BB" w:rsidRPr="008074BB" w:rsidRDefault="002D4E73" w:rsidP="008074BB">
      <w:pPr>
        <w:suppressAutoHyphens/>
        <w:jc w:val="center"/>
        <w:rPr>
          <w:b/>
          <w:spacing w:val="-2"/>
          <w:szCs w:val="24"/>
        </w:rPr>
      </w:pPr>
      <w:r>
        <w:rPr>
          <w:b/>
          <w:spacing w:val="-2"/>
          <w:szCs w:val="24"/>
        </w:rPr>
        <w:t>in Selected Justice System Facilities</w:t>
      </w:r>
      <w:r w:rsidR="008074BB" w:rsidRPr="008074BB">
        <w:rPr>
          <w:b/>
          <w:spacing w:val="-2"/>
          <w:szCs w:val="24"/>
        </w:rPr>
        <w:t xml:space="preserve">  </w:t>
      </w:r>
    </w:p>
    <w:p w:rsidR="008074BB" w:rsidRPr="008C0BEC" w:rsidRDefault="008074BB" w:rsidP="008D5E33">
      <w:pPr>
        <w:jc w:val="center"/>
        <w:rPr>
          <w:lang w:val="en-US" w:eastAsia="hr-HR"/>
        </w:rPr>
      </w:pPr>
    </w:p>
    <w:p w:rsidR="0071653E" w:rsidRPr="008C0BEC" w:rsidRDefault="0071653E" w:rsidP="008D5E33">
      <w:pPr>
        <w:rPr>
          <w:b/>
          <w:sz w:val="22"/>
          <w:szCs w:val="22"/>
          <w:lang w:val="en-US"/>
        </w:rPr>
      </w:pPr>
    </w:p>
    <w:p w:rsidR="00F436E5" w:rsidRPr="008C0BEC" w:rsidRDefault="00F436E5" w:rsidP="00F436E5">
      <w:pPr>
        <w:rPr>
          <w:b/>
        </w:rPr>
      </w:pPr>
      <w:r w:rsidRPr="008C0BEC">
        <w:rPr>
          <w:b/>
        </w:rPr>
        <w:t>Background</w:t>
      </w:r>
    </w:p>
    <w:p w:rsidR="00F436E5" w:rsidRPr="008C0BEC" w:rsidRDefault="00F436E5" w:rsidP="00F436E5">
      <w:pPr>
        <w:rPr>
          <w:b/>
        </w:rPr>
      </w:pPr>
    </w:p>
    <w:p w:rsidR="00F436E5" w:rsidRDefault="00F436E5" w:rsidP="00D60544">
      <w:pPr>
        <w:pStyle w:val="ListParagraph"/>
        <w:numPr>
          <w:ilvl w:val="0"/>
          <w:numId w:val="7"/>
        </w:numPr>
        <w:spacing w:after="240"/>
        <w:ind w:left="0" w:firstLine="0"/>
        <w:jc w:val="both"/>
      </w:pPr>
      <w:r w:rsidRPr="008C0BEC">
        <w:t xml:space="preserve">The Republic of Croatia has received a Loan from the International Bank for Reconstruction and Development (IBRD) towards the Justice Sector Support Project (JSSP). The JSSP is intended to be a key vehicle for a multi-year program to modernize the judiciary and prosecutors’ offices in the Republic of Croatia. The over-arching goal of the JSSP is to strengthen the efficiency of the justice sector. The JSSP will be implemented by the Ministry of Justice (MOJ) of the Republic of Croatia.  </w:t>
      </w:r>
    </w:p>
    <w:p w:rsidR="000635D2" w:rsidRDefault="000635D2" w:rsidP="000635D2">
      <w:pPr>
        <w:pStyle w:val="ListParagraph"/>
        <w:spacing w:after="240"/>
        <w:ind w:left="0"/>
        <w:jc w:val="both"/>
      </w:pPr>
    </w:p>
    <w:p w:rsidR="000635D2" w:rsidRPr="000635D2" w:rsidRDefault="0066081A" w:rsidP="000635D2">
      <w:pPr>
        <w:spacing w:after="240"/>
        <w:jc w:val="both"/>
        <w:rPr>
          <w:b/>
        </w:rPr>
      </w:pPr>
      <w:r>
        <w:rPr>
          <w:b/>
        </w:rPr>
        <w:t>Current Status</w:t>
      </w:r>
      <w:r w:rsidR="00A562CF">
        <w:rPr>
          <w:b/>
        </w:rPr>
        <w:t xml:space="preserve"> </w:t>
      </w:r>
    </w:p>
    <w:p w:rsidR="0066081A" w:rsidRDefault="003C6D8D" w:rsidP="0066081A">
      <w:pPr>
        <w:pStyle w:val="ListParagraph"/>
        <w:numPr>
          <w:ilvl w:val="0"/>
          <w:numId w:val="7"/>
        </w:numPr>
        <w:spacing w:after="240"/>
        <w:ind w:left="0" w:firstLine="0"/>
        <w:jc w:val="both"/>
      </w:pPr>
      <w:r>
        <w:t>The issue of s</w:t>
      </w:r>
      <w:r w:rsidR="0066081A">
        <w:t xml:space="preserve">ecurity </w:t>
      </w:r>
      <w:r>
        <w:t>within the justice system is primarily within the competences of the</w:t>
      </w:r>
      <w:r w:rsidR="0066081A">
        <w:t xml:space="preserve"> Department of Securit</w:t>
      </w:r>
      <w:r>
        <w:t>y Services for Justice Bodies, as</w:t>
      </w:r>
      <w:r w:rsidR="0066081A">
        <w:t xml:space="preserve"> an organizational unit within the Directorate for Organization of Justice, Ministry of Justice. The Law on Courts and State Attorneys' Act regulate its competences in providing services relating to security of persons in bodies of the justice system, as well as their infrastructure and assets. Basic security measures implemented by the Service in its operation are the following: providing security for persons in justice bodies, mo</w:t>
      </w:r>
      <w:r w:rsidR="0082190E">
        <w:t>nitoring of movement within the facilities</w:t>
      </w:r>
      <w:r w:rsidR="0066081A">
        <w:t xml:space="preserve"> (entrance/exit), prevention of unauthorized stay in judicial bodies, prevention of unauthorized carrying of arms, weapons, explosives and other hazardous items, search of persons and objects, maintaining order, and implementing applicable measures against the transgressors.</w:t>
      </w:r>
    </w:p>
    <w:p w:rsidR="003C6D8D" w:rsidRDefault="0066081A" w:rsidP="0066081A">
      <w:pPr>
        <w:pStyle w:val="ListParagraph"/>
        <w:spacing w:after="240"/>
        <w:ind w:left="0"/>
        <w:jc w:val="both"/>
      </w:pPr>
      <w:r>
        <w:tab/>
        <w:t>Within the territor</w:t>
      </w:r>
      <w:r w:rsidR="00871960">
        <w:t>y</w:t>
      </w:r>
      <w:r>
        <w:t xml:space="preserve"> of the Republic of Croatia there are 208 bodies of the justice system, located in 235 objects, with some 20.000 parties visiting them on a daily basis.</w:t>
      </w:r>
    </w:p>
    <w:p w:rsidR="00A562CF" w:rsidRDefault="003C6D8D" w:rsidP="0066081A">
      <w:pPr>
        <w:pStyle w:val="ListParagraph"/>
        <w:spacing w:after="240"/>
        <w:ind w:left="0"/>
        <w:jc w:val="both"/>
      </w:pPr>
      <w:r>
        <w:tab/>
      </w:r>
      <w:r w:rsidR="0066081A">
        <w:t xml:space="preserve">  </w:t>
      </w:r>
      <w:r w:rsidRPr="003C6D8D">
        <w:t xml:space="preserve">Pursuant to the Law on Seats and Jurisdiction of Courts the territory of Croatia is divided into 15 judicial areas through establishment of 15 County Courts. </w:t>
      </w:r>
      <w:r>
        <w:t>Therefore the</w:t>
      </w:r>
      <w:r w:rsidRPr="003C6D8D">
        <w:t xml:space="preserve"> priority in </w:t>
      </w:r>
      <w:r>
        <w:t>designing the security systems</w:t>
      </w:r>
      <w:r w:rsidRPr="003C6D8D">
        <w:t xml:space="preserve">, and thus in increasing the security standards, should be given to the most important justice </w:t>
      </w:r>
      <w:r w:rsidR="00075951" w:rsidRPr="003C6D8D">
        <w:t>centres</w:t>
      </w:r>
      <w:r w:rsidRPr="003C6D8D">
        <w:t xml:space="preserve"> in Croatia (county and municipal courts, county and municipal state attorney's offices and USKOK) where proceedings are conducted against complex criminal offences and cases involving organized crime and corruption. </w:t>
      </w:r>
      <w:r w:rsidR="0066081A">
        <w:t xml:space="preserve">  </w:t>
      </w:r>
    </w:p>
    <w:p w:rsidR="007C41DC" w:rsidRDefault="007C41DC" w:rsidP="0066081A">
      <w:pPr>
        <w:pStyle w:val="ListParagraph"/>
        <w:spacing w:after="240"/>
        <w:ind w:left="0"/>
        <w:jc w:val="both"/>
      </w:pPr>
    </w:p>
    <w:p w:rsidR="0066081A" w:rsidRDefault="0066081A" w:rsidP="00A562CF">
      <w:pPr>
        <w:pStyle w:val="ListParagraph"/>
        <w:spacing w:after="240"/>
        <w:ind w:left="0"/>
        <w:jc w:val="both"/>
        <w:rPr>
          <w:b/>
        </w:rPr>
      </w:pPr>
    </w:p>
    <w:p w:rsidR="007C41DC" w:rsidRDefault="007C41DC" w:rsidP="00A562CF">
      <w:pPr>
        <w:pStyle w:val="ListParagraph"/>
        <w:spacing w:after="240"/>
        <w:ind w:left="0"/>
        <w:jc w:val="both"/>
        <w:rPr>
          <w:b/>
        </w:rPr>
      </w:pPr>
    </w:p>
    <w:p w:rsidR="007C41DC" w:rsidRDefault="007C41DC" w:rsidP="00A562CF">
      <w:pPr>
        <w:pStyle w:val="ListParagraph"/>
        <w:spacing w:after="240"/>
        <w:ind w:left="0"/>
        <w:jc w:val="both"/>
        <w:rPr>
          <w:b/>
        </w:rPr>
      </w:pPr>
    </w:p>
    <w:p w:rsidR="00F436E5" w:rsidRPr="008C0BEC" w:rsidRDefault="005129CE" w:rsidP="00F436E5">
      <w:pPr>
        <w:jc w:val="both"/>
        <w:rPr>
          <w:b/>
        </w:rPr>
      </w:pPr>
      <w:r>
        <w:rPr>
          <w:b/>
        </w:rPr>
        <w:lastRenderedPageBreak/>
        <w:t>Objective of the</w:t>
      </w:r>
      <w:r w:rsidR="0071653E">
        <w:rPr>
          <w:b/>
        </w:rPr>
        <w:t xml:space="preserve"> </w:t>
      </w:r>
      <w:r w:rsidR="00BB3FA9">
        <w:rPr>
          <w:b/>
        </w:rPr>
        <w:t>Assignment</w:t>
      </w:r>
    </w:p>
    <w:p w:rsidR="008D5E33" w:rsidRPr="008C0BEC" w:rsidRDefault="008D5E33" w:rsidP="008D5E33">
      <w:pPr>
        <w:rPr>
          <w:b/>
          <w:sz w:val="22"/>
          <w:szCs w:val="22"/>
          <w:lang w:val="en-US"/>
        </w:rPr>
      </w:pPr>
    </w:p>
    <w:p w:rsidR="008900A6" w:rsidRDefault="0071653E" w:rsidP="00BB3FA9">
      <w:pPr>
        <w:pStyle w:val="ListParagraph"/>
        <w:numPr>
          <w:ilvl w:val="0"/>
          <w:numId w:val="7"/>
        </w:numPr>
        <w:spacing w:after="240"/>
        <w:ind w:left="0" w:firstLine="0"/>
        <w:jc w:val="both"/>
        <w:rPr>
          <w:szCs w:val="24"/>
          <w:lang w:val="en-US"/>
        </w:rPr>
      </w:pPr>
      <w:r>
        <w:rPr>
          <w:szCs w:val="24"/>
          <w:lang w:val="en-US"/>
        </w:rPr>
        <w:t>The objective of this activity is to as</w:t>
      </w:r>
      <w:r w:rsidR="0003621F">
        <w:rPr>
          <w:szCs w:val="24"/>
          <w:lang w:val="en-US"/>
        </w:rPr>
        <w:t xml:space="preserve">sist the Ministry of Justice </w:t>
      </w:r>
      <w:r w:rsidR="0082190E">
        <w:rPr>
          <w:szCs w:val="24"/>
          <w:lang w:val="en-US"/>
        </w:rPr>
        <w:t xml:space="preserve">in improving the security of citizens, officials and employees of the justice system </w:t>
      </w:r>
      <w:r w:rsidR="0003621F">
        <w:rPr>
          <w:szCs w:val="24"/>
          <w:lang w:val="en-US"/>
        </w:rPr>
        <w:t xml:space="preserve">by preparing the necessary design </w:t>
      </w:r>
      <w:r w:rsidR="00075951">
        <w:rPr>
          <w:szCs w:val="24"/>
          <w:lang w:val="en-US"/>
        </w:rPr>
        <w:t>documentation</w:t>
      </w:r>
      <w:r w:rsidR="0003621F">
        <w:rPr>
          <w:szCs w:val="24"/>
          <w:lang w:val="en-US"/>
        </w:rPr>
        <w:t xml:space="preserve"> for the</w:t>
      </w:r>
      <w:r w:rsidR="00075951">
        <w:rPr>
          <w:szCs w:val="24"/>
          <w:lang w:val="en-US"/>
        </w:rPr>
        <w:t xml:space="preserve"> (technical) security systems at</w:t>
      </w:r>
      <w:r w:rsidR="0003621F">
        <w:rPr>
          <w:szCs w:val="24"/>
          <w:lang w:val="en-US"/>
        </w:rPr>
        <w:t xml:space="preserve"> </w:t>
      </w:r>
      <w:r w:rsidR="009436A3">
        <w:rPr>
          <w:szCs w:val="24"/>
          <w:lang w:val="en-US"/>
        </w:rPr>
        <w:t xml:space="preserve">the </w:t>
      </w:r>
      <w:r w:rsidR="0003621F">
        <w:rPr>
          <w:szCs w:val="24"/>
          <w:lang w:val="en-US"/>
        </w:rPr>
        <w:t>selected locations/facilities</w:t>
      </w:r>
      <w:r>
        <w:rPr>
          <w:szCs w:val="24"/>
          <w:lang w:val="en-US"/>
        </w:rPr>
        <w:t xml:space="preserve">. The assignment shall </w:t>
      </w:r>
      <w:r w:rsidR="008900A6">
        <w:rPr>
          <w:szCs w:val="24"/>
          <w:lang w:val="en-US"/>
        </w:rPr>
        <w:t>focus, but not be limited to, the following:</w:t>
      </w:r>
    </w:p>
    <w:p w:rsidR="008900A6" w:rsidRDefault="008900A6" w:rsidP="008900A6">
      <w:pPr>
        <w:pStyle w:val="ListParagraph"/>
        <w:spacing w:after="240"/>
        <w:ind w:left="0"/>
        <w:jc w:val="both"/>
        <w:rPr>
          <w:szCs w:val="24"/>
          <w:lang w:val="en-US"/>
        </w:rPr>
      </w:pPr>
    </w:p>
    <w:p w:rsidR="008900A6" w:rsidRDefault="009436A3" w:rsidP="008900A6">
      <w:pPr>
        <w:pStyle w:val="ListParagraph"/>
        <w:numPr>
          <w:ilvl w:val="0"/>
          <w:numId w:val="20"/>
        </w:numPr>
        <w:spacing w:after="240"/>
        <w:jc w:val="both"/>
        <w:rPr>
          <w:szCs w:val="24"/>
          <w:lang w:val="en-US"/>
        </w:rPr>
      </w:pPr>
      <w:r>
        <w:rPr>
          <w:szCs w:val="24"/>
          <w:lang w:val="en-US"/>
        </w:rPr>
        <w:t>risk assessment for the selected facilities</w:t>
      </w:r>
      <w:r w:rsidR="008900A6">
        <w:rPr>
          <w:szCs w:val="24"/>
          <w:lang w:val="en-US"/>
        </w:rPr>
        <w:t>;</w:t>
      </w:r>
    </w:p>
    <w:p w:rsidR="00871960" w:rsidRDefault="009436A3" w:rsidP="008900A6">
      <w:pPr>
        <w:pStyle w:val="ListParagraph"/>
        <w:numPr>
          <w:ilvl w:val="0"/>
          <w:numId w:val="20"/>
        </w:numPr>
        <w:spacing w:after="240"/>
        <w:jc w:val="both"/>
        <w:rPr>
          <w:szCs w:val="24"/>
          <w:lang w:val="en-US"/>
        </w:rPr>
      </w:pPr>
      <w:r>
        <w:rPr>
          <w:szCs w:val="24"/>
          <w:lang w:val="en-US"/>
        </w:rPr>
        <w:t xml:space="preserve">designing the security system for each of the selected facilities, corresponding to the </w:t>
      </w:r>
      <w:r w:rsidR="00075951">
        <w:rPr>
          <w:szCs w:val="24"/>
          <w:lang w:val="en-US"/>
        </w:rPr>
        <w:t>identified</w:t>
      </w:r>
      <w:r>
        <w:rPr>
          <w:szCs w:val="24"/>
          <w:lang w:val="en-US"/>
        </w:rPr>
        <w:t xml:space="preserve"> risks, consisting of</w:t>
      </w:r>
      <w:r w:rsidR="00871960">
        <w:rPr>
          <w:szCs w:val="24"/>
          <w:lang w:val="en-US"/>
        </w:rPr>
        <w:t xml:space="preserve"> the following sub-systems:</w:t>
      </w:r>
    </w:p>
    <w:p w:rsidR="00871960" w:rsidRDefault="00A70E4B" w:rsidP="00871960">
      <w:pPr>
        <w:pStyle w:val="ListParagraph"/>
        <w:numPr>
          <w:ilvl w:val="1"/>
          <w:numId w:val="20"/>
        </w:numPr>
        <w:spacing w:after="240"/>
        <w:jc w:val="both"/>
        <w:rPr>
          <w:szCs w:val="24"/>
          <w:lang w:val="en-US"/>
        </w:rPr>
      </w:pPr>
      <w:r>
        <w:rPr>
          <w:szCs w:val="24"/>
          <w:lang w:val="en-US"/>
        </w:rPr>
        <w:t xml:space="preserve"> video surveillance system;</w:t>
      </w:r>
      <w:r w:rsidR="009436A3">
        <w:rPr>
          <w:szCs w:val="24"/>
          <w:lang w:val="en-US"/>
        </w:rPr>
        <w:t xml:space="preserve"> </w:t>
      </w:r>
    </w:p>
    <w:p w:rsidR="00871960" w:rsidRDefault="00A70E4B" w:rsidP="00871960">
      <w:pPr>
        <w:pStyle w:val="ListParagraph"/>
        <w:numPr>
          <w:ilvl w:val="1"/>
          <w:numId w:val="20"/>
        </w:numPr>
        <w:spacing w:after="240"/>
        <w:jc w:val="both"/>
        <w:rPr>
          <w:szCs w:val="24"/>
          <w:lang w:val="en-US"/>
        </w:rPr>
      </w:pPr>
      <w:r>
        <w:rPr>
          <w:szCs w:val="24"/>
          <w:lang w:val="en-US"/>
        </w:rPr>
        <w:t>silent alarm system;</w:t>
      </w:r>
    </w:p>
    <w:p w:rsidR="00871960" w:rsidRDefault="009436A3" w:rsidP="00871960">
      <w:pPr>
        <w:pStyle w:val="ListParagraph"/>
        <w:numPr>
          <w:ilvl w:val="1"/>
          <w:numId w:val="20"/>
        </w:numPr>
        <w:spacing w:after="240"/>
        <w:jc w:val="both"/>
        <w:rPr>
          <w:szCs w:val="24"/>
          <w:lang w:val="en-US"/>
        </w:rPr>
      </w:pPr>
      <w:r>
        <w:rPr>
          <w:szCs w:val="24"/>
          <w:lang w:val="en-US"/>
        </w:rPr>
        <w:t>anti-burglary alarm system</w:t>
      </w:r>
      <w:r w:rsidR="00A70E4B">
        <w:rPr>
          <w:szCs w:val="24"/>
          <w:lang w:val="en-US"/>
        </w:rPr>
        <w:t>;</w:t>
      </w:r>
      <w:r>
        <w:rPr>
          <w:szCs w:val="24"/>
          <w:lang w:val="en-US"/>
        </w:rPr>
        <w:t xml:space="preserve"> and</w:t>
      </w:r>
      <w:r w:rsidR="008740D8">
        <w:rPr>
          <w:szCs w:val="24"/>
          <w:lang w:val="en-US"/>
        </w:rPr>
        <w:t>/or</w:t>
      </w:r>
      <w:r>
        <w:rPr>
          <w:szCs w:val="24"/>
          <w:lang w:val="en-US"/>
        </w:rPr>
        <w:t xml:space="preserve"> </w:t>
      </w:r>
    </w:p>
    <w:p w:rsidR="004B6FB5" w:rsidRDefault="009436A3" w:rsidP="00871960">
      <w:pPr>
        <w:pStyle w:val="ListParagraph"/>
        <w:numPr>
          <w:ilvl w:val="1"/>
          <w:numId w:val="20"/>
        </w:numPr>
        <w:spacing w:after="240"/>
        <w:jc w:val="both"/>
        <w:rPr>
          <w:szCs w:val="24"/>
          <w:lang w:val="en-US"/>
        </w:rPr>
      </w:pPr>
      <w:r>
        <w:rPr>
          <w:szCs w:val="24"/>
          <w:lang w:val="en-US"/>
        </w:rPr>
        <w:t>metal-detector doors</w:t>
      </w:r>
      <w:r w:rsidR="004B6FB5">
        <w:rPr>
          <w:szCs w:val="24"/>
          <w:lang w:val="en-US"/>
        </w:rPr>
        <w:t>;</w:t>
      </w:r>
    </w:p>
    <w:p w:rsidR="00A70E4B" w:rsidRDefault="00A70E4B" w:rsidP="00871960">
      <w:pPr>
        <w:pStyle w:val="ListParagraph"/>
        <w:numPr>
          <w:ilvl w:val="1"/>
          <w:numId w:val="20"/>
        </w:numPr>
        <w:spacing w:after="240"/>
        <w:jc w:val="both"/>
        <w:rPr>
          <w:szCs w:val="24"/>
          <w:lang w:val="en-US"/>
        </w:rPr>
      </w:pPr>
      <w:r>
        <w:rPr>
          <w:szCs w:val="24"/>
          <w:lang w:val="en-US"/>
        </w:rPr>
        <w:t xml:space="preserve">a possibility for centralized monitoring should be envisaged for video surveillance systems and anti-burglary alarm systems. </w:t>
      </w:r>
    </w:p>
    <w:p w:rsidR="00886766" w:rsidRDefault="008740D8" w:rsidP="008900A6">
      <w:pPr>
        <w:pStyle w:val="ListParagraph"/>
        <w:numPr>
          <w:ilvl w:val="0"/>
          <w:numId w:val="20"/>
        </w:numPr>
        <w:spacing w:after="240"/>
        <w:jc w:val="both"/>
        <w:rPr>
          <w:szCs w:val="24"/>
          <w:lang w:val="en-US"/>
        </w:rPr>
      </w:pPr>
      <w:r>
        <w:rPr>
          <w:szCs w:val="24"/>
          <w:lang w:val="en-US"/>
        </w:rPr>
        <w:t>technical specifications of the required system elements, installation plans/drawings and Bills of Quantities for technical components and installation services.</w:t>
      </w:r>
    </w:p>
    <w:p w:rsidR="006F1A25" w:rsidRDefault="006F1A25" w:rsidP="006F1A25">
      <w:pPr>
        <w:spacing w:after="240"/>
        <w:jc w:val="both"/>
        <w:rPr>
          <w:szCs w:val="24"/>
          <w:lang w:val="en-US"/>
        </w:rPr>
      </w:pPr>
      <w:r>
        <w:rPr>
          <w:szCs w:val="24"/>
          <w:lang w:val="en-US"/>
        </w:rPr>
        <w:t>The facilities that are the subject of this assignment are the following</w:t>
      </w:r>
      <w:r w:rsidR="0044074C">
        <w:rPr>
          <w:szCs w:val="24"/>
          <w:lang w:val="en-US"/>
        </w:rPr>
        <w:t xml:space="preserve"> (with indicative security systems/sub-systems needed)</w:t>
      </w:r>
      <w:r>
        <w:rPr>
          <w:szCs w:val="24"/>
          <w:lang w:val="en-US"/>
        </w:rPr>
        <w:t>:</w:t>
      </w:r>
    </w:p>
    <w:p w:rsidR="007C41DC" w:rsidRDefault="007C41DC" w:rsidP="006F1A25">
      <w:pPr>
        <w:spacing w:after="240"/>
        <w:jc w:val="both"/>
        <w:rPr>
          <w:szCs w:val="24"/>
          <w:lang w:val="en-US"/>
        </w:rPr>
      </w:pPr>
      <w:r w:rsidRPr="007C41DC">
        <w:rPr>
          <w:noProof/>
          <w:lang w:val="hr-HR" w:eastAsia="hr-HR"/>
        </w:rPr>
        <w:drawing>
          <wp:inline distT="0" distB="0" distL="0" distR="0" wp14:anchorId="0BE9D53C" wp14:editId="24A6174B">
            <wp:extent cx="6098875" cy="479628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888" cy="4796297"/>
                    </a:xfrm>
                    <a:prstGeom prst="rect">
                      <a:avLst/>
                    </a:prstGeom>
                    <a:noFill/>
                    <a:ln>
                      <a:noFill/>
                    </a:ln>
                  </pic:spPr>
                </pic:pic>
              </a:graphicData>
            </a:graphic>
          </wp:inline>
        </w:drawing>
      </w:r>
    </w:p>
    <w:p w:rsidR="007C0DBC" w:rsidRPr="00444AB7" w:rsidRDefault="007C0DBC" w:rsidP="0044074C">
      <w:pPr>
        <w:jc w:val="both"/>
        <w:rPr>
          <w:szCs w:val="24"/>
          <w:highlight w:val="yellow"/>
          <w:lang w:val="en-US"/>
        </w:rPr>
      </w:pPr>
    </w:p>
    <w:p w:rsidR="0044074C" w:rsidRPr="0044074C" w:rsidRDefault="0044074C" w:rsidP="0044074C">
      <w:pPr>
        <w:jc w:val="both"/>
        <w:rPr>
          <w:szCs w:val="24"/>
          <w:lang w:val="en-US"/>
        </w:rPr>
      </w:pPr>
    </w:p>
    <w:p w:rsidR="00E7239E" w:rsidRDefault="008900A6" w:rsidP="00BB3FA9">
      <w:pPr>
        <w:pStyle w:val="ListParagraph"/>
        <w:spacing w:after="240"/>
        <w:ind w:left="0"/>
        <w:jc w:val="both"/>
        <w:rPr>
          <w:szCs w:val="24"/>
          <w:lang w:val="en-US"/>
        </w:rPr>
      </w:pPr>
      <w:r>
        <w:rPr>
          <w:szCs w:val="24"/>
          <w:lang w:val="en-US"/>
        </w:rPr>
        <w:t xml:space="preserve">To achieve this goal the Consultant </w:t>
      </w:r>
      <w:r w:rsidR="00D65549">
        <w:rPr>
          <w:szCs w:val="24"/>
          <w:lang w:val="en-US"/>
        </w:rPr>
        <w:t xml:space="preserve">should </w:t>
      </w:r>
      <w:r w:rsidR="008740D8">
        <w:rPr>
          <w:szCs w:val="24"/>
          <w:lang w:val="en-US"/>
        </w:rPr>
        <w:t>visit and inspect the selected locations, analyze the</w:t>
      </w:r>
      <w:r w:rsidR="0082190E">
        <w:rPr>
          <w:szCs w:val="24"/>
          <w:lang w:val="en-US"/>
        </w:rPr>
        <w:t xml:space="preserve"> r</w:t>
      </w:r>
      <w:r w:rsidR="00871960">
        <w:rPr>
          <w:szCs w:val="24"/>
          <w:lang w:val="en-US"/>
        </w:rPr>
        <w:t>isks, analyze the</w:t>
      </w:r>
      <w:r w:rsidR="008740D8">
        <w:rPr>
          <w:szCs w:val="24"/>
          <w:lang w:val="en-US"/>
        </w:rPr>
        <w:t xml:space="preserve"> existing security systems and measures in place</w:t>
      </w:r>
      <w:r w:rsidR="00D65549">
        <w:rPr>
          <w:szCs w:val="24"/>
          <w:lang w:val="en-US"/>
        </w:rPr>
        <w:t>,</w:t>
      </w:r>
      <w:r w:rsidR="008740D8">
        <w:rPr>
          <w:szCs w:val="24"/>
          <w:lang w:val="en-US"/>
        </w:rPr>
        <w:t xml:space="preserve"> discuss the needs with the users and representatives of the Department for Security Services</w:t>
      </w:r>
      <w:r w:rsidR="0064108B">
        <w:rPr>
          <w:szCs w:val="24"/>
          <w:lang w:val="en-US"/>
        </w:rPr>
        <w:t xml:space="preserve"> and</w:t>
      </w:r>
      <w:r w:rsidR="008740D8">
        <w:rPr>
          <w:szCs w:val="24"/>
          <w:lang w:val="en-US"/>
        </w:rPr>
        <w:t xml:space="preserve"> study applicable</w:t>
      </w:r>
      <w:r w:rsidR="00D65549">
        <w:rPr>
          <w:szCs w:val="24"/>
          <w:lang w:val="en-US"/>
        </w:rPr>
        <w:t xml:space="preserve"> legislat</w:t>
      </w:r>
      <w:r w:rsidR="00871960">
        <w:rPr>
          <w:szCs w:val="24"/>
          <w:lang w:val="en-US"/>
        </w:rPr>
        <w:t>ion in place</w:t>
      </w:r>
      <w:r w:rsidR="008740D8">
        <w:rPr>
          <w:szCs w:val="24"/>
          <w:lang w:val="en-US"/>
        </w:rPr>
        <w:t>.</w:t>
      </w:r>
    </w:p>
    <w:p w:rsidR="008740D8" w:rsidRDefault="008740D8" w:rsidP="00BB3FA9">
      <w:pPr>
        <w:pStyle w:val="ListParagraph"/>
        <w:spacing w:after="240"/>
        <w:ind w:left="0"/>
        <w:jc w:val="both"/>
        <w:rPr>
          <w:szCs w:val="24"/>
          <w:lang w:val="en-US"/>
        </w:rPr>
      </w:pPr>
    </w:p>
    <w:p w:rsidR="006556AB" w:rsidRDefault="00E7239E" w:rsidP="00BB3FA9">
      <w:pPr>
        <w:pStyle w:val="ListParagraph"/>
        <w:spacing w:after="240"/>
        <w:ind w:left="0"/>
        <w:jc w:val="both"/>
        <w:rPr>
          <w:szCs w:val="24"/>
          <w:lang w:val="en-US"/>
        </w:rPr>
      </w:pPr>
      <w:r w:rsidRPr="002D704C">
        <w:rPr>
          <w:szCs w:val="24"/>
          <w:lang w:val="en-US"/>
        </w:rPr>
        <w:t xml:space="preserve">Consultant is welcome to offer comments and recommendations in regards to </w:t>
      </w:r>
      <w:r w:rsidR="008740D8">
        <w:rPr>
          <w:szCs w:val="24"/>
          <w:lang w:val="en-US"/>
        </w:rPr>
        <w:t>other aspects of security in selected facilities (such as fire protection, and similar), howe</w:t>
      </w:r>
      <w:r w:rsidRPr="002D704C">
        <w:rPr>
          <w:szCs w:val="24"/>
          <w:lang w:val="en-US"/>
        </w:rPr>
        <w:t xml:space="preserve">ver that is not a </w:t>
      </w:r>
      <w:r w:rsidR="008740D8">
        <w:rPr>
          <w:szCs w:val="24"/>
          <w:lang w:val="en-US"/>
        </w:rPr>
        <w:t xml:space="preserve">direct </w:t>
      </w:r>
      <w:r w:rsidRPr="002D704C">
        <w:rPr>
          <w:szCs w:val="24"/>
          <w:lang w:val="en-US"/>
        </w:rPr>
        <w:t>requirement for this assignment.</w:t>
      </w:r>
    </w:p>
    <w:p w:rsidR="008900A6" w:rsidRDefault="008900A6" w:rsidP="0042430D">
      <w:pPr>
        <w:pStyle w:val="ListParagraph"/>
        <w:ind w:left="0"/>
        <w:jc w:val="both"/>
        <w:rPr>
          <w:szCs w:val="24"/>
          <w:lang w:val="en-US"/>
        </w:rPr>
      </w:pPr>
    </w:p>
    <w:p w:rsidR="008D5E33" w:rsidRPr="008C0BEC" w:rsidRDefault="008D5E33" w:rsidP="008D5E33">
      <w:pPr>
        <w:pStyle w:val="BodyText"/>
        <w:rPr>
          <w:b/>
          <w:szCs w:val="24"/>
          <w:lang w:val="en-US"/>
        </w:rPr>
      </w:pPr>
      <w:r w:rsidRPr="008C0BEC">
        <w:rPr>
          <w:b/>
          <w:szCs w:val="24"/>
          <w:lang w:val="en-US"/>
        </w:rPr>
        <w:t>Scope of Services</w:t>
      </w:r>
    </w:p>
    <w:p w:rsidR="00D60544" w:rsidRPr="008C0BEC" w:rsidRDefault="008D5E33" w:rsidP="00467873">
      <w:pPr>
        <w:pStyle w:val="NormalWeb"/>
        <w:numPr>
          <w:ilvl w:val="0"/>
          <w:numId w:val="7"/>
        </w:numPr>
        <w:spacing w:before="0" w:after="0"/>
        <w:jc w:val="both"/>
        <w:rPr>
          <w:szCs w:val="24"/>
          <w:lang w:val="en-US"/>
        </w:rPr>
      </w:pPr>
      <w:r w:rsidRPr="008C0BEC">
        <w:rPr>
          <w:sz w:val="24"/>
          <w:szCs w:val="24"/>
          <w:lang w:val="en-US"/>
        </w:rPr>
        <w:t>The Consultant will provide</w:t>
      </w:r>
      <w:r w:rsidR="00770EFC">
        <w:rPr>
          <w:sz w:val="24"/>
          <w:szCs w:val="24"/>
          <w:lang w:val="en-US"/>
        </w:rPr>
        <w:t xml:space="preserve"> the </w:t>
      </w:r>
      <w:r w:rsidR="008740D8">
        <w:rPr>
          <w:sz w:val="24"/>
          <w:szCs w:val="24"/>
          <w:lang w:val="en-US"/>
        </w:rPr>
        <w:t xml:space="preserve">following </w:t>
      </w:r>
      <w:r w:rsidR="00770EFC">
        <w:rPr>
          <w:sz w:val="24"/>
          <w:szCs w:val="24"/>
          <w:lang w:val="en-US"/>
        </w:rPr>
        <w:t>services</w:t>
      </w:r>
      <w:r w:rsidRPr="008C0BEC">
        <w:rPr>
          <w:sz w:val="24"/>
          <w:szCs w:val="24"/>
          <w:lang w:val="en-US"/>
        </w:rPr>
        <w:t xml:space="preserve"> </w:t>
      </w:r>
      <w:r w:rsidR="008740D8">
        <w:rPr>
          <w:sz w:val="24"/>
          <w:szCs w:val="24"/>
          <w:lang w:val="en-US"/>
        </w:rPr>
        <w:t>aimed at</w:t>
      </w:r>
      <w:r w:rsidR="0064108B">
        <w:rPr>
          <w:sz w:val="24"/>
          <w:szCs w:val="24"/>
          <w:lang w:val="en-US"/>
        </w:rPr>
        <w:t xml:space="preserve"> assisting the Ministry of Justice in developing the systems of tec</w:t>
      </w:r>
      <w:r w:rsidR="00871960">
        <w:rPr>
          <w:sz w:val="24"/>
          <w:szCs w:val="24"/>
          <w:lang w:val="en-US"/>
        </w:rPr>
        <w:t>h</w:t>
      </w:r>
      <w:r w:rsidR="0064108B">
        <w:rPr>
          <w:sz w:val="24"/>
          <w:szCs w:val="24"/>
          <w:lang w:val="en-US"/>
        </w:rPr>
        <w:t>nical security and pro</w:t>
      </w:r>
      <w:r w:rsidR="00871960">
        <w:rPr>
          <w:sz w:val="24"/>
          <w:szCs w:val="24"/>
          <w:lang w:val="en-US"/>
        </w:rPr>
        <w:t>tection of the selected facili</w:t>
      </w:r>
      <w:r w:rsidR="0064108B">
        <w:rPr>
          <w:sz w:val="24"/>
          <w:szCs w:val="24"/>
          <w:lang w:val="en-US"/>
        </w:rPr>
        <w:t xml:space="preserve">ties, as well as in procurement </w:t>
      </w:r>
      <w:r w:rsidR="0082190E">
        <w:rPr>
          <w:sz w:val="24"/>
          <w:szCs w:val="24"/>
          <w:lang w:val="en-US"/>
        </w:rPr>
        <w:t xml:space="preserve">and installation </w:t>
      </w:r>
      <w:r w:rsidR="0064108B">
        <w:rPr>
          <w:sz w:val="24"/>
          <w:szCs w:val="24"/>
          <w:lang w:val="en-US"/>
        </w:rPr>
        <w:t>of the designed systems</w:t>
      </w:r>
      <w:r w:rsidR="0082190E">
        <w:rPr>
          <w:sz w:val="24"/>
          <w:szCs w:val="24"/>
          <w:lang w:val="en-US"/>
        </w:rPr>
        <w:t>.</w:t>
      </w:r>
      <w:r w:rsidR="00704CF9">
        <w:rPr>
          <w:sz w:val="24"/>
          <w:szCs w:val="24"/>
          <w:lang w:val="en-US"/>
        </w:rPr>
        <w:t xml:space="preserve">  </w:t>
      </w:r>
      <w:r w:rsidRPr="008C0BEC">
        <w:rPr>
          <w:sz w:val="24"/>
          <w:szCs w:val="24"/>
          <w:lang w:val="en-US"/>
        </w:rPr>
        <w:t xml:space="preserve"> </w:t>
      </w:r>
    </w:p>
    <w:p w:rsidR="005129CE" w:rsidRDefault="005129CE" w:rsidP="00D60544">
      <w:pPr>
        <w:pStyle w:val="BodyText"/>
        <w:tabs>
          <w:tab w:val="left" w:pos="0"/>
        </w:tabs>
        <w:jc w:val="both"/>
        <w:rPr>
          <w:szCs w:val="24"/>
          <w:lang w:val="en-US"/>
        </w:rPr>
      </w:pPr>
    </w:p>
    <w:p w:rsidR="008D5E33" w:rsidRPr="008C0BEC" w:rsidRDefault="008D5E33" w:rsidP="00D60544">
      <w:pPr>
        <w:pStyle w:val="BodyText"/>
        <w:tabs>
          <w:tab w:val="left" w:pos="0"/>
        </w:tabs>
        <w:jc w:val="both"/>
        <w:rPr>
          <w:szCs w:val="24"/>
          <w:lang w:val="en-US"/>
        </w:rPr>
      </w:pPr>
      <w:r w:rsidRPr="008C0BEC">
        <w:rPr>
          <w:szCs w:val="24"/>
          <w:lang w:val="en-US"/>
        </w:rPr>
        <w:t>Specific responsibilities include, but are not limited to those listed below:</w:t>
      </w:r>
    </w:p>
    <w:p w:rsidR="0064108B" w:rsidRDefault="0064108B" w:rsidP="00714DCB">
      <w:pPr>
        <w:pStyle w:val="BodyText"/>
        <w:numPr>
          <w:ilvl w:val="1"/>
          <w:numId w:val="7"/>
        </w:numPr>
        <w:tabs>
          <w:tab w:val="left" w:pos="0"/>
        </w:tabs>
        <w:jc w:val="both"/>
        <w:rPr>
          <w:szCs w:val="24"/>
          <w:lang w:val="en-US"/>
        </w:rPr>
      </w:pPr>
      <w:r>
        <w:rPr>
          <w:szCs w:val="24"/>
          <w:lang w:val="en-US"/>
        </w:rPr>
        <w:t>Conduct an on-site inspection of the selected facilities;</w:t>
      </w:r>
    </w:p>
    <w:p w:rsidR="003363A8" w:rsidRPr="008C0BEC" w:rsidRDefault="009B4F5E" w:rsidP="00714DCB">
      <w:pPr>
        <w:pStyle w:val="BodyText"/>
        <w:numPr>
          <w:ilvl w:val="1"/>
          <w:numId w:val="7"/>
        </w:numPr>
        <w:tabs>
          <w:tab w:val="left" w:pos="0"/>
        </w:tabs>
        <w:jc w:val="both"/>
        <w:rPr>
          <w:szCs w:val="24"/>
          <w:lang w:val="en-US"/>
        </w:rPr>
      </w:pPr>
      <w:r>
        <w:rPr>
          <w:szCs w:val="24"/>
          <w:lang w:val="en-US"/>
        </w:rPr>
        <w:t>Conduct c</w:t>
      </w:r>
      <w:r w:rsidR="003363A8" w:rsidRPr="008C0BEC">
        <w:rPr>
          <w:szCs w:val="24"/>
          <w:lang w:val="en-US"/>
        </w:rPr>
        <w:t>onsult</w:t>
      </w:r>
      <w:r>
        <w:rPr>
          <w:szCs w:val="24"/>
          <w:lang w:val="en-US"/>
        </w:rPr>
        <w:t>ations with</w:t>
      </w:r>
      <w:r w:rsidR="003363A8" w:rsidRPr="008C0BEC">
        <w:rPr>
          <w:szCs w:val="24"/>
          <w:lang w:val="en-US"/>
        </w:rPr>
        <w:t xml:space="preserve"> all relevant stakeholders in regards to their </w:t>
      </w:r>
      <w:r w:rsidR="00C26218">
        <w:rPr>
          <w:szCs w:val="24"/>
          <w:lang w:val="en-US"/>
        </w:rPr>
        <w:t>positions/</w:t>
      </w:r>
      <w:r w:rsidR="003363A8" w:rsidRPr="008C0BEC">
        <w:rPr>
          <w:szCs w:val="24"/>
          <w:lang w:val="en-US"/>
        </w:rPr>
        <w:t xml:space="preserve">expectations of the future </w:t>
      </w:r>
      <w:r w:rsidR="0064108B">
        <w:rPr>
          <w:szCs w:val="24"/>
          <w:lang w:val="en-US"/>
        </w:rPr>
        <w:t xml:space="preserve">security </w:t>
      </w:r>
      <w:r w:rsidR="003363A8" w:rsidRPr="008C0BEC">
        <w:rPr>
          <w:szCs w:val="24"/>
          <w:lang w:val="en-US"/>
        </w:rPr>
        <w:t>systems</w:t>
      </w:r>
      <w:r w:rsidR="008C78F2" w:rsidRPr="008C0BEC">
        <w:rPr>
          <w:szCs w:val="24"/>
          <w:lang w:val="en-US"/>
        </w:rPr>
        <w:t>.</w:t>
      </w:r>
      <w:r w:rsidR="00101B9D">
        <w:rPr>
          <w:szCs w:val="24"/>
          <w:lang w:val="en-US"/>
        </w:rPr>
        <w:t xml:space="preserve"> These groups should include, among others: </w:t>
      </w:r>
      <w:r w:rsidR="0064108B">
        <w:rPr>
          <w:szCs w:val="24"/>
          <w:lang w:val="en-US"/>
        </w:rPr>
        <w:t xml:space="preserve">Directorate for Security Services of the Ministry of Justice, Investment Department of the Ministry of Justice, head of judicial body(ies) operating in the selected facilities, persons in charge of the security at particular location/facility, </w:t>
      </w:r>
      <w:r w:rsidR="00871960">
        <w:rPr>
          <w:szCs w:val="24"/>
          <w:lang w:val="en-US"/>
        </w:rPr>
        <w:t xml:space="preserve">and </w:t>
      </w:r>
      <w:r w:rsidR="0064108B">
        <w:rPr>
          <w:szCs w:val="24"/>
          <w:lang w:val="en-US"/>
        </w:rPr>
        <w:t>other users (as necessary)</w:t>
      </w:r>
      <w:r w:rsidR="00053D67">
        <w:rPr>
          <w:szCs w:val="24"/>
          <w:lang w:val="en-US"/>
        </w:rPr>
        <w:t>,</w:t>
      </w:r>
    </w:p>
    <w:p w:rsidR="0064108B" w:rsidRDefault="0064108B" w:rsidP="00714DCB">
      <w:pPr>
        <w:pStyle w:val="BodyText"/>
        <w:numPr>
          <w:ilvl w:val="1"/>
          <w:numId w:val="7"/>
        </w:numPr>
        <w:tabs>
          <w:tab w:val="left" w:pos="0"/>
        </w:tabs>
        <w:jc w:val="both"/>
        <w:rPr>
          <w:szCs w:val="24"/>
          <w:lang w:val="en-US"/>
        </w:rPr>
      </w:pPr>
      <w:r>
        <w:rPr>
          <w:szCs w:val="24"/>
          <w:lang w:val="en-US"/>
        </w:rPr>
        <w:t>Consult all applicable legislatio</w:t>
      </w:r>
      <w:r w:rsidR="00871960">
        <w:rPr>
          <w:szCs w:val="24"/>
          <w:lang w:val="en-US"/>
        </w:rPr>
        <w:t>n</w:t>
      </w:r>
      <w:r>
        <w:rPr>
          <w:szCs w:val="24"/>
          <w:lang w:val="en-US"/>
        </w:rPr>
        <w:t xml:space="preserve"> and regulation in place including, but not limited to, the Law on Private Protection (Narodne Novine No. 68/03 and 31/2010), </w:t>
      </w:r>
      <w:r w:rsidR="00871960">
        <w:rPr>
          <w:szCs w:val="24"/>
          <w:lang w:val="en-US"/>
        </w:rPr>
        <w:t xml:space="preserve">and </w:t>
      </w:r>
      <w:r>
        <w:rPr>
          <w:szCs w:val="24"/>
          <w:lang w:val="en-US"/>
        </w:rPr>
        <w:t>Regulation on Requirements and Manners for Implementation of Technical Protection (Narodne Novine No. 198/03), as well as applicable standards</w:t>
      </w:r>
      <w:r w:rsidR="003F5261">
        <w:rPr>
          <w:szCs w:val="24"/>
          <w:lang w:val="en-US"/>
        </w:rPr>
        <w:t xml:space="preserve"> and best practices. The Consulta</w:t>
      </w:r>
      <w:r w:rsidR="0082190E">
        <w:rPr>
          <w:szCs w:val="24"/>
          <w:lang w:val="en-US"/>
        </w:rPr>
        <w:t>n</w:t>
      </w:r>
      <w:r w:rsidR="003F5261">
        <w:rPr>
          <w:szCs w:val="24"/>
          <w:lang w:val="en-US"/>
        </w:rPr>
        <w:t xml:space="preserve">t shall especially </w:t>
      </w:r>
      <w:r w:rsidR="00053D67">
        <w:rPr>
          <w:szCs w:val="24"/>
          <w:lang w:val="en-US"/>
        </w:rPr>
        <w:t>observe</w:t>
      </w:r>
      <w:r w:rsidR="003F5261">
        <w:rPr>
          <w:szCs w:val="24"/>
          <w:lang w:val="en-US"/>
        </w:rPr>
        <w:t xml:space="preserve"> </w:t>
      </w:r>
      <w:r w:rsidR="00053D67">
        <w:rPr>
          <w:szCs w:val="24"/>
          <w:lang w:val="en-US"/>
        </w:rPr>
        <w:t>all</w:t>
      </w:r>
      <w:r w:rsidR="003F5261">
        <w:rPr>
          <w:szCs w:val="24"/>
          <w:lang w:val="en-US"/>
        </w:rPr>
        <w:t xml:space="preserve"> applicab</w:t>
      </w:r>
      <w:r w:rsidR="00053D67">
        <w:rPr>
          <w:szCs w:val="24"/>
          <w:lang w:val="en-US"/>
        </w:rPr>
        <w:t>le legislation and regulation governing</w:t>
      </w:r>
      <w:r w:rsidR="003F5261">
        <w:rPr>
          <w:szCs w:val="24"/>
          <w:lang w:val="en-US"/>
        </w:rPr>
        <w:t xml:space="preserve"> confidentiality </w:t>
      </w:r>
      <w:r w:rsidR="00053D67">
        <w:rPr>
          <w:szCs w:val="24"/>
          <w:lang w:val="en-US"/>
        </w:rPr>
        <w:t xml:space="preserve">and secrecy of this category of assignments, </w:t>
      </w:r>
    </w:p>
    <w:p w:rsidR="00871960" w:rsidRDefault="00871960" w:rsidP="00714DCB">
      <w:pPr>
        <w:pStyle w:val="BodyText"/>
        <w:numPr>
          <w:ilvl w:val="1"/>
          <w:numId w:val="7"/>
        </w:numPr>
        <w:tabs>
          <w:tab w:val="left" w:pos="0"/>
        </w:tabs>
        <w:jc w:val="both"/>
        <w:rPr>
          <w:szCs w:val="24"/>
          <w:lang w:val="en-US"/>
        </w:rPr>
      </w:pPr>
      <w:r>
        <w:rPr>
          <w:szCs w:val="24"/>
          <w:lang w:val="en-US"/>
        </w:rPr>
        <w:t>Prepare the risk assessment study for each of the locations/facilities,</w:t>
      </w:r>
    </w:p>
    <w:p w:rsidR="00871960" w:rsidRDefault="00871960" w:rsidP="00714DCB">
      <w:pPr>
        <w:pStyle w:val="BodyText"/>
        <w:numPr>
          <w:ilvl w:val="1"/>
          <w:numId w:val="7"/>
        </w:numPr>
        <w:tabs>
          <w:tab w:val="left" w:pos="0"/>
        </w:tabs>
        <w:jc w:val="both"/>
        <w:rPr>
          <w:szCs w:val="24"/>
          <w:lang w:val="en-US"/>
        </w:rPr>
      </w:pPr>
      <w:r>
        <w:rPr>
          <w:szCs w:val="24"/>
          <w:lang w:val="en-US"/>
        </w:rPr>
        <w:t>Draft a concept design of the technical security system for each of the selected locations</w:t>
      </w:r>
      <w:r w:rsidR="00A70E4B">
        <w:rPr>
          <w:szCs w:val="24"/>
          <w:lang w:val="en-US"/>
        </w:rPr>
        <w:t>, with a possibility of centralized monitoring of video-surveilance systems and anti-burglary systems from one location – the Directorate for Security of the Ministry of Justice in Zagreb</w:t>
      </w:r>
      <w:r w:rsidR="00053D67">
        <w:rPr>
          <w:szCs w:val="24"/>
          <w:lang w:val="en-US"/>
        </w:rPr>
        <w:t>,</w:t>
      </w:r>
      <w:r w:rsidR="00A70E4B">
        <w:rPr>
          <w:szCs w:val="24"/>
          <w:lang w:val="en-US"/>
        </w:rPr>
        <w:t xml:space="preserve"> </w:t>
      </w:r>
    </w:p>
    <w:p w:rsidR="00871960" w:rsidRPr="00871960" w:rsidRDefault="00871960" w:rsidP="00871960">
      <w:pPr>
        <w:pStyle w:val="BodyText"/>
        <w:tabs>
          <w:tab w:val="left" w:pos="0"/>
        </w:tabs>
        <w:ind w:left="1080"/>
        <w:jc w:val="both"/>
        <w:rPr>
          <w:b/>
          <w:szCs w:val="24"/>
          <w:lang w:val="en-US"/>
        </w:rPr>
      </w:pPr>
      <w:r>
        <w:rPr>
          <w:b/>
          <w:szCs w:val="24"/>
          <w:lang w:val="en-US"/>
        </w:rPr>
        <w:t xml:space="preserve">Activities under 4.d. and 4.e., above, should be completed within 30 days from the commencement of the assignment and </w:t>
      </w:r>
      <w:r w:rsidR="00075951">
        <w:rPr>
          <w:b/>
          <w:szCs w:val="24"/>
          <w:lang w:val="en-US"/>
        </w:rPr>
        <w:t xml:space="preserve">be </w:t>
      </w:r>
      <w:r>
        <w:rPr>
          <w:b/>
          <w:szCs w:val="24"/>
          <w:lang w:val="en-US"/>
        </w:rPr>
        <w:t>submitted to the MoJ for review and acceptance.</w:t>
      </w:r>
    </w:p>
    <w:p w:rsidR="0064108B" w:rsidRDefault="00871960" w:rsidP="00714DCB">
      <w:pPr>
        <w:pStyle w:val="BodyText"/>
        <w:numPr>
          <w:ilvl w:val="1"/>
          <w:numId w:val="7"/>
        </w:numPr>
        <w:tabs>
          <w:tab w:val="left" w:pos="0"/>
        </w:tabs>
        <w:jc w:val="both"/>
        <w:rPr>
          <w:szCs w:val="24"/>
          <w:lang w:val="en-US"/>
        </w:rPr>
      </w:pPr>
      <w:r>
        <w:rPr>
          <w:szCs w:val="24"/>
          <w:lang w:val="en-US"/>
        </w:rPr>
        <w:t>Prepare a detailed design (</w:t>
      </w:r>
      <w:r>
        <w:rPr>
          <w:i/>
          <w:szCs w:val="24"/>
          <w:lang w:val="en-US"/>
        </w:rPr>
        <w:t xml:space="preserve">Izvedbeni projekt) </w:t>
      </w:r>
      <w:r>
        <w:rPr>
          <w:szCs w:val="24"/>
          <w:lang w:val="en-US"/>
        </w:rPr>
        <w:t>of the system and all appropriate sub-systems for each of the selected locations,</w:t>
      </w:r>
      <w:r w:rsidR="008F1F7D">
        <w:rPr>
          <w:szCs w:val="24"/>
          <w:lang w:val="en-US"/>
        </w:rPr>
        <w:t xml:space="preserve"> based on the accepted/agreed</w:t>
      </w:r>
      <w:r>
        <w:rPr>
          <w:szCs w:val="24"/>
          <w:lang w:val="en-US"/>
        </w:rPr>
        <w:t xml:space="preserve"> concept designs</w:t>
      </w:r>
      <w:r w:rsidR="008F1F7D">
        <w:rPr>
          <w:szCs w:val="24"/>
          <w:lang w:val="en-US"/>
        </w:rPr>
        <w:t xml:space="preserve"> including</w:t>
      </w:r>
      <w:r w:rsidR="00603661">
        <w:rPr>
          <w:szCs w:val="24"/>
          <w:lang w:val="en-US"/>
        </w:rPr>
        <w:t>, but not limited to</w:t>
      </w:r>
      <w:r w:rsidR="002A101F">
        <w:rPr>
          <w:szCs w:val="24"/>
          <w:lang w:val="en-US"/>
        </w:rPr>
        <w:t>, technical drawings, installation plans, and similar</w:t>
      </w:r>
      <w:r>
        <w:rPr>
          <w:szCs w:val="24"/>
          <w:lang w:val="en-US"/>
        </w:rPr>
        <w:t xml:space="preserve"> (see 4.e., above)</w:t>
      </w:r>
      <w:r w:rsidR="00603661">
        <w:rPr>
          <w:szCs w:val="24"/>
          <w:lang w:val="en-US"/>
        </w:rPr>
        <w:t>.</w:t>
      </w:r>
    </w:p>
    <w:p w:rsidR="006F1A25" w:rsidRDefault="00603661" w:rsidP="00714DCB">
      <w:pPr>
        <w:pStyle w:val="BodyText"/>
        <w:numPr>
          <w:ilvl w:val="1"/>
          <w:numId w:val="7"/>
        </w:numPr>
        <w:tabs>
          <w:tab w:val="left" w:pos="0"/>
        </w:tabs>
        <w:jc w:val="both"/>
        <w:rPr>
          <w:szCs w:val="24"/>
          <w:lang w:val="en-US"/>
        </w:rPr>
      </w:pPr>
      <w:r>
        <w:rPr>
          <w:szCs w:val="24"/>
          <w:lang w:val="en-US"/>
        </w:rPr>
        <w:t xml:space="preserve">Prepare Technical Requirements, Technical Specifications and Bill of Quantities for the </w:t>
      </w:r>
      <w:r w:rsidR="002A101F">
        <w:rPr>
          <w:szCs w:val="24"/>
          <w:lang w:val="en-US"/>
        </w:rPr>
        <w:t xml:space="preserve">designed </w:t>
      </w:r>
      <w:r>
        <w:rPr>
          <w:szCs w:val="24"/>
          <w:lang w:val="en-US"/>
        </w:rPr>
        <w:t xml:space="preserve">security systems </w:t>
      </w:r>
      <w:r w:rsidR="007A7B6D">
        <w:rPr>
          <w:szCs w:val="24"/>
          <w:lang w:val="en-US"/>
        </w:rPr>
        <w:t xml:space="preserve">for </w:t>
      </w:r>
      <w:r w:rsidR="00075951">
        <w:rPr>
          <w:szCs w:val="24"/>
          <w:lang w:val="en-US"/>
        </w:rPr>
        <w:t>each</w:t>
      </w:r>
      <w:r w:rsidR="007A7B6D">
        <w:rPr>
          <w:szCs w:val="24"/>
          <w:lang w:val="en-US"/>
        </w:rPr>
        <w:t xml:space="preserve"> of the facilities. These should be drafted in accordance with the World Bank </w:t>
      </w:r>
      <w:r w:rsidR="00075951">
        <w:rPr>
          <w:szCs w:val="24"/>
          <w:lang w:val="en-US"/>
        </w:rPr>
        <w:t>Guidelines</w:t>
      </w:r>
      <w:r w:rsidR="007A7B6D">
        <w:rPr>
          <w:szCs w:val="24"/>
          <w:lang w:val="en-US"/>
        </w:rPr>
        <w:t xml:space="preserve"> on Procurement of Goods, Works and </w:t>
      </w:r>
      <w:r w:rsidR="007A7B6D">
        <w:rPr>
          <w:szCs w:val="24"/>
          <w:lang w:val="en-US"/>
        </w:rPr>
        <w:lastRenderedPageBreak/>
        <w:t xml:space="preserve">Non-Consulting Services so that they can be used as part of bidding documentation for possible subsequent procurement of the designed systems. </w:t>
      </w:r>
    </w:p>
    <w:p w:rsidR="007A7B6D" w:rsidRDefault="006F1A25" w:rsidP="00714DCB">
      <w:pPr>
        <w:pStyle w:val="BodyText"/>
        <w:numPr>
          <w:ilvl w:val="1"/>
          <w:numId w:val="7"/>
        </w:numPr>
        <w:tabs>
          <w:tab w:val="left" w:pos="0"/>
        </w:tabs>
        <w:jc w:val="both"/>
        <w:rPr>
          <w:szCs w:val="24"/>
          <w:lang w:val="en-US"/>
        </w:rPr>
      </w:pPr>
      <w:r>
        <w:rPr>
          <w:szCs w:val="24"/>
          <w:lang w:val="en-US"/>
        </w:rPr>
        <w:t>Submit the final report on services performed.</w:t>
      </w:r>
      <w:r w:rsidR="007A7B6D">
        <w:rPr>
          <w:szCs w:val="24"/>
          <w:lang w:val="en-US"/>
        </w:rPr>
        <w:t xml:space="preserve"> </w:t>
      </w:r>
    </w:p>
    <w:p w:rsidR="00DA07AC" w:rsidRPr="00E00A50" w:rsidRDefault="000C5940" w:rsidP="00E00A50">
      <w:pPr>
        <w:pStyle w:val="ListParagraph"/>
        <w:tabs>
          <w:tab w:val="left" w:pos="0"/>
        </w:tabs>
        <w:ind w:left="1080"/>
        <w:jc w:val="both"/>
        <w:rPr>
          <w:szCs w:val="24"/>
          <w:lang w:val="en-US"/>
        </w:rPr>
      </w:pPr>
      <w:r w:rsidRPr="00E00A50">
        <w:rPr>
          <w:szCs w:val="24"/>
          <w:lang w:val="en-US"/>
        </w:rPr>
        <w:t xml:space="preserve">   </w:t>
      </w:r>
    </w:p>
    <w:p w:rsidR="008D5E33" w:rsidRPr="008C0BEC" w:rsidRDefault="008074BB" w:rsidP="008D5E33">
      <w:pPr>
        <w:ind w:left="426" w:hanging="426"/>
        <w:jc w:val="both"/>
        <w:rPr>
          <w:b/>
          <w:szCs w:val="24"/>
          <w:lang w:val="en-US"/>
        </w:rPr>
      </w:pPr>
      <w:r>
        <w:rPr>
          <w:b/>
          <w:szCs w:val="24"/>
          <w:lang w:val="en-US"/>
        </w:rPr>
        <w:t>Consultant’s</w:t>
      </w:r>
      <w:r w:rsidR="00447989">
        <w:rPr>
          <w:b/>
          <w:szCs w:val="24"/>
          <w:lang w:val="en-US"/>
        </w:rPr>
        <w:t xml:space="preserve"> Qualifications</w:t>
      </w:r>
    </w:p>
    <w:p w:rsidR="008D5E33" w:rsidRPr="008C0BEC" w:rsidRDefault="008D5E33" w:rsidP="008D5E33">
      <w:pPr>
        <w:jc w:val="both"/>
        <w:rPr>
          <w:szCs w:val="24"/>
          <w:lang w:val="en-US"/>
        </w:rPr>
      </w:pPr>
    </w:p>
    <w:p w:rsidR="008D5E33" w:rsidRPr="008C0BEC" w:rsidRDefault="00A503BD" w:rsidP="008D5E33">
      <w:pPr>
        <w:tabs>
          <w:tab w:val="left" w:pos="567"/>
        </w:tabs>
        <w:jc w:val="both"/>
        <w:rPr>
          <w:szCs w:val="24"/>
          <w:lang w:val="en-US"/>
        </w:rPr>
      </w:pPr>
      <w:r w:rsidRPr="008C0BEC">
        <w:rPr>
          <w:szCs w:val="24"/>
          <w:lang w:val="en-US"/>
        </w:rPr>
        <w:t>5</w:t>
      </w:r>
      <w:r w:rsidR="008D5E33" w:rsidRPr="008C0BEC">
        <w:rPr>
          <w:szCs w:val="24"/>
          <w:lang w:val="en-US"/>
        </w:rPr>
        <w:t>.</w:t>
      </w:r>
      <w:r w:rsidR="008D5E33" w:rsidRPr="008C0BEC">
        <w:rPr>
          <w:szCs w:val="24"/>
          <w:lang w:val="en-US"/>
        </w:rPr>
        <w:tab/>
      </w:r>
      <w:r w:rsidR="008D5E33" w:rsidRPr="008C0BEC">
        <w:rPr>
          <w:szCs w:val="24"/>
          <w:lang w:val="en-US"/>
        </w:rPr>
        <w:tab/>
        <w:t xml:space="preserve">The </w:t>
      </w:r>
      <w:r w:rsidR="00770EFC">
        <w:rPr>
          <w:szCs w:val="24"/>
          <w:lang w:val="en-US"/>
        </w:rPr>
        <w:t xml:space="preserve">Consultant </w:t>
      </w:r>
      <w:r w:rsidR="008D5E33" w:rsidRPr="008C0BEC">
        <w:rPr>
          <w:szCs w:val="24"/>
          <w:lang w:val="en-US"/>
        </w:rPr>
        <w:t>shall possess the following</w:t>
      </w:r>
      <w:r w:rsidR="00C4195A">
        <w:rPr>
          <w:szCs w:val="24"/>
          <w:lang w:val="en-US"/>
        </w:rPr>
        <w:t xml:space="preserve"> </w:t>
      </w:r>
      <w:r w:rsidR="008D5E33" w:rsidRPr="008C0BEC">
        <w:rPr>
          <w:szCs w:val="24"/>
          <w:lang w:val="en-US"/>
        </w:rPr>
        <w:t>minimum qualifications:</w:t>
      </w:r>
    </w:p>
    <w:p w:rsidR="008D5E33" w:rsidRDefault="008D5E33" w:rsidP="008D5E33">
      <w:pPr>
        <w:tabs>
          <w:tab w:val="left" w:pos="567"/>
        </w:tabs>
        <w:jc w:val="both"/>
        <w:rPr>
          <w:szCs w:val="24"/>
          <w:lang w:val="en-US"/>
        </w:rPr>
      </w:pPr>
    </w:p>
    <w:p w:rsidR="008530B4" w:rsidRPr="008C0BEC" w:rsidRDefault="002E55BB" w:rsidP="00053D67">
      <w:pPr>
        <w:tabs>
          <w:tab w:val="left" w:pos="567"/>
        </w:tabs>
        <w:ind w:left="284" w:hanging="284"/>
        <w:jc w:val="both"/>
        <w:rPr>
          <w:szCs w:val="24"/>
          <w:lang w:val="en-US"/>
        </w:rPr>
      </w:pPr>
      <w:r>
        <w:rPr>
          <w:szCs w:val="24"/>
          <w:lang w:val="en-US"/>
        </w:rPr>
        <w:t>a</w:t>
      </w:r>
      <w:r w:rsidR="006D21F6" w:rsidRPr="008C0BEC">
        <w:rPr>
          <w:szCs w:val="24"/>
          <w:lang w:val="en-US"/>
        </w:rPr>
        <w:t>.</w:t>
      </w:r>
      <w:r w:rsidR="006D21F6" w:rsidRPr="008C0BEC">
        <w:rPr>
          <w:szCs w:val="24"/>
          <w:lang w:val="en-US"/>
        </w:rPr>
        <w:tab/>
      </w:r>
      <w:r w:rsidR="00FD5019" w:rsidRPr="008C0BEC">
        <w:rPr>
          <w:szCs w:val="24"/>
          <w:lang w:val="en-US"/>
        </w:rPr>
        <w:t xml:space="preserve">At least </w:t>
      </w:r>
      <w:r w:rsidR="00053D67">
        <w:rPr>
          <w:szCs w:val="24"/>
          <w:lang w:val="en-US"/>
        </w:rPr>
        <w:t>5</w:t>
      </w:r>
      <w:r w:rsidR="004E4638" w:rsidRPr="008C0BEC">
        <w:rPr>
          <w:szCs w:val="24"/>
          <w:lang w:val="en-US"/>
        </w:rPr>
        <w:t xml:space="preserve"> </w:t>
      </w:r>
      <w:r w:rsidR="00FD5019" w:rsidRPr="008C0BEC">
        <w:rPr>
          <w:szCs w:val="24"/>
          <w:lang w:val="en-US"/>
        </w:rPr>
        <w:t>(</w:t>
      </w:r>
      <w:r w:rsidR="00053D67">
        <w:rPr>
          <w:szCs w:val="24"/>
          <w:lang w:val="en-US"/>
        </w:rPr>
        <w:t>five</w:t>
      </w:r>
      <w:r w:rsidR="00FD5019" w:rsidRPr="008C0BEC">
        <w:rPr>
          <w:szCs w:val="24"/>
          <w:lang w:val="en-US"/>
        </w:rPr>
        <w:t>) years t</w:t>
      </w:r>
      <w:r w:rsidR="006D21F6" w:rsidRPr="008C0BEC">
        <w:rPr>
          <w:szCs w:val="24"/>
          <w:lang w:val="en-US"/>
        </w:rPr>
        <w:t>raceable experience</w:t>
      </w:r>
      <w:r w:rsidR="0096502A">
        <w:rPr>
          <w:szCs w:val="24"/>
          <w:lang w:val="en-US"/>
        </w:rPr>
        <w:t xml:space="preserve"> </w:t>
      </w:r>
      <w:r w:rsidR="006D21F6" w:rsidRPr="008C0BEC">
        <w:rPr>
          <w:szCs w:val="24"/>
          <w:lang w:val="en-US"/>
        </w:rPr>
        <w:t xml:space="preserve">in </w:t>
      </w:r>
      <w:r w:rsidR="009B4F5E">
        <w:rPr>
          <w:szCs w:val="24"/>
          <w:lang w:val="en-US"/>
        </w:rPr>
        <w:t xml:space="preserve">the </w:t>
      </w:r>
      <w:r w:rsidR="008530B4" w:rsidRPr="008C0BEC">
        <w:rPr>
          <w:szCs w:val="24"/>
          <w:lang w:val="en-US"/>
        </w:rPr>
        <w:t>following areas:</w:t>
      </w:r>
    </w:p>
    <w:p w:rsidR="0049282E" w:rsidRPr="0049282E" w:rsidRDefault="00FF1444" w:rsidP="0049282E">
      <w:pPr>
        <w:pStyle w:val="ListParagraph"/>
        <w:numPr>
          <w:ilvl w:val="0"/>
          <w:numId w:val="12"/>
        </w:numPr>
        <w:jc w:val="both"/>
        <w:rPr>
          <w:szCs w:val="24"/>
          <w:lang w:val="en-US"/>
        </w:rPr>
      </w:pPr>
      <w:r>
        <w:rPr>
          <w:szCs w:val="24"/>
          <w:lang w:val="en-US"/>
        </w:rPr>
        <w:t>design and implementation of systems of technical security in facilities with public access, especially in public services</w:t>
      </w:r>
      <w:r w:rsidR="002E55BB" w:rsidRPr="00BD6434">
        <w:rPr>
          <w:szCs w:val="24"/>
          <w:lang w:val="en-US"/>
        </w:rPr>
        <w:t>;</w:t>
      </w:r>
      <w:r w:rsidR="0049282E" w:rsidRPr="0049282E">
        <w:rPr>
          <w:szCs w:val="24"/>
          <w:lang w:val="en-US"/>
        </w:rPr>
        <w:t xml:space="preserve"> </w:t>
      </w:r>
    </w:p>
    <w:p w:rsidR="00FF1444" w:rsidRDefault="00FF1444" w:rsidP="00FF1444">
      <w:pPr>
        <w:pStyle w:val="ListParagraph"/>
        <w:jc w:val="both"/>
        <w:rPr>
          <w:szCs w:val="24"/>
          <w:lang w:val="en-US"/>
        </w:rPr>
      </w:pPr>
    </w:p>
    <w:p w:rsidR="00FF1444" w:rsidRDefault="0049282E" w:rsidP="00FF1444">
      <w:pPr>
        <w:ind w:left="284" w:hanging="284"/>
        <w:jc w:val="both"/>
        <w:rPr>
          <w:szCs w:val="24"/>
          <w:lang w:val="en-US"/>
        </w:rPr>
      </w:pPr>
      <w:r>
        <w:rPr>
          <w:szCs w:val="24"/>
          <w:lang w:val="en-US"/>
        </w:rPr>
        <w:t>b</w:t>
      </w:r>
      <w:r w:rsidR="00FF1444">
        <w:rPr>
          <w:szCs w:val="24"/>
          <w:lang w:val="en-US"/>
        </w:rPr>
        <w:t>. The Consultant shall possess valid approval</w:t>
      </w:r>
      <w:r w:rsidR="00456710">
        <w:rPr>
          <w:szCs w:val="24"/>
          <w:lang w:val="en-US"/>
        </w:rPr>
        <w:t>/licence</w:t>
      </w:r>
      <w:r w:rsidR="00FF1444">
        <w:rPr>
          <w:szCs w:val="24"/>
          <w:lang w:val="en-US"/>
        </w:rPr>
        <w:t xml:space="preserve"> for performing works/services in the are</w:t>
      </w:r>
      <w:r>
        <w:rPr>
          <w:szCs w:val="24"/>
          <w:lang w:val="en-US"/>
        </w:rPr>
        <w:t>a</w:t>
      </w:r>
      <w:r w:rsidR="00FF1444">
        <w:rPr>
          <w:szCs w:val="24"/>
          <w:lang w:val="en-US"/>
        </w:rPr>
        <w:t xml:space="preserve"> of security and protection, pursuant to the Law on Private Security/Protection;</w:t>
      </w:r>
    </w:p>
    <w:p w:rsidR="0049282E" w:rsidRDefault="0049282E" w:rsidP="00FF1444">
      <w:pPr>
        <w:ind w:left="284" w:hanging="284"/>
        <w:jc w:val="both"/>
        <w:rPr>
          <w:szCs w:val="24"/>
          <w:lang w:val="en-US"/>
        </w:rPr>
      </w:pPr>
    </w:p>
    <w:p w:rsidR="0049282E" w:rsidRDefault="0049282E" w:rsidP="00FF1444">
      <w:pPr>
        <w:ind w:left="284" w:hanging="284"/>
        <w:jc w:val="both"/>
        <w:rPr>
          <w:szCs w:val="24"/>
        </w:rPr>
      </w:pPr>
      <w:r>
        <w:rPr>
          <w:szCs w:val="24"/>
          <w:lang w:val="en-US"/>
        </w:rPr>
        <w:t xml:space="preserve">c. </w:t>
      </w:r>
      <w:r w:rsidRPr="007052C6">
        <w:rPr>
          <w:szCs w:val="24"/>
        </w:rPr>
        <w:t xml:space="preserve">The Consultant shall confirm the availability of sufficient number of (minimum </w:t>
      </w:r>
      <w:r>
        <w:rPr>
          <w:szCs w:val="24"/>
        </w:rPr>
        <w:t>2</w:t>
      </w:r>
      <w:r w:rsidRPr="007052C6">
        <w:rPr>
          <w:szCs w:val="24"/>
        </w:rPr>
        <w:t xml:space="preserve">) key experts with particular </w:t>
      </w:r>
      <w:r>
        <w:rPr>
          <w:szCs w:val="24"/>
        </w:rPr>
        <w:t xml:space="preserve">education, </w:t>
      </w:r>
      <w:r w:rsidRPr="007052C6">
        <w:rPr>
          <w:szCs w:val="24"/>
        </w:rPr>
        <w:t xml:space="preserve">experience and knowledge in areas listed in items </w:t>
      </w:r>
      <w:r w:rsidR="0082190E">
        <w:rPr>
          <w:szCs w:val="24"/>
        </w:rPr>
        <w:t>4.</w:t>
      </w:r>
      <w:r w:rsidRPr="007052C6">
        <w:rPr>
          <w:szCs w:val="24"/>
        </w:rPr>
        <w:t xml:space="preserve">a. through </w:t>
      </w:r>
      <w:r w:rsidR="0082190E">
        <w:rPr>
          <w:szCs w:val="24"/>
        </w:rPr>
        <w:t>4.</w:t>
      </w:r>
      <w:r>
        <w:rPr>
          <w:szCs w:val="24"/>
        </w:rPr>
        <w:t>g</w:t>
      </w:r>
      <w:r w:rsidRPr="007052C6">
        <w:rPr>
          <w:szCs w:val="24"/>
        </w:rPr>
        <w:t xml:space="preserve">. (above) </w:t>
      </w:r>
      <w:r>
        <w:rPr>
          <w:szCs w:val="24"/>
        </w:rPr>
        <w:t xml:space="preserve">and with valid specific approvals/licences (as applicable) </w:t>
      </w:r>
      <w:r w:rsidRPr="007052C6">
        <w:rPr>
          <w:szCs w:val="24"/>
        </w:rPr>
        <w:t xml:space="preserve">to be engaged on this assignment, with indication of their specific roles </w:t>
      </w:r>
      <w:r w:rsidR="008547DB">
        <w:rPr>
          <w:szCs w:val="24"/>
        </w:rPr>
        <w:t>and responsibilities;</w:t>
      </w:r>
    </w:p>
    <w:p w:rsidR="008547DB" w:rsidRDefault="008547DB" w:rsidP="00FF1444">
      <w:pPr>
        <w:ind w:left="284" w:hanging="284"/>
        <w:jc w:val="both"/>
        <w:rPr>
          <w:szCs w:val="24"/>
        </w:rPr>
      </w:pPr>
    </w:p>
    <w:p w:rsidR="008547DB" w:rsidRDefault="008547DB" w:rsidP="00FF1444">
      <w:pPr>
        <w:ind w:left="284" w:hanging="284"/>
        <w:jc w:val="both"/>
        <w:rPr>
          <w:szCs w:val="24"/>
        </w:rPr>
      </w:pPr>
      <w:r>
        <w:rPr>
          <w:szCs w:val="24"/>
        </w:rPr>
        <w:t xml:space="preserve">d. </w:t>
      </w:r>
      <w:r w:rsidR="00075951">
        <w:rPr>
          <w:szCs w:val="24"/>
        </w:rPr>
        <w:t>Knowledge</w:t>
      </w:r>
      <w:r>
        <w:rPr>
          <w:szCs w:val="24"/>
        </w:rPr>
        <w:t xml:space="preserve"> of applicable legal an</w:t>
      </w:r>
      <w:r w:rsidR="00444AB7">
        <w:rPr>
          <w:szCs w:val="24"/>
        </w:rPr>
        <w:t>d regulative framework in place;</w:t>
      </w:r>
    </w:p>
    <w:p w:rsidR="008547DB" w:rsidRDefault="008547DB" w:rsidP="00FF1444">
      <w:pPr>
        <w:ind w:left="284" w:hanging="284"/>
        <w:jc w:val="both"/>
        <w:rPr>
          <w:szCs w:val="24"/>
        </w:rPr>
      </w:pPr>
    </w:p>
    <w:p w:rsidR="008547DB" w:rsidRDefault="008547DB" w:rsidP="00FF1444">
      <w:pPr>
        <w:ind w:left="284" w:hanging="284"/>
        <w:jc w:val="both"/>
        <w:rPr>
          <w:szCs w:val="24"/>
          <w:lang w:val="en-US"/>
        </w:rPr>
      </w:pPr>
      <w:r>
        <w:rPr>
          <w:szCs w:val="24"/>
        </w:rPr>
        <w:t xml:space="preserve">e. </w:t>
      </w:r>
      <w:r w:rsidR="00444AB7" w:rsidRPr="00A70E4B">
        <w:rPr>
          <w:szCs w:val="24"/>
        </w:rPr>
        <w:t>P</w:t>
      </w:r>
      <w:r w:rsidR="002F560A" w:rsidRPr="00A70E4B">
        <w:rPr>
          <w:szCs w:val="24"/>
        </w:rPr>
        <w:t>ossess</w:t>
      </w:r>
      <w:r w:rsidR="00444AB7" w:rsidRPr="00A70E4B">
        <w:rPr>
          <w:szCs w:val="24"/>
        </w:rPr>
        <w:t>ion of</w:t>
      </w:r>
      <w:r w:rsidR="002F560A" w:rsidRPr="00A70E4B">
        <w:rPr>
          <w:szCs w:val="24"/>
        </w:rPr>
        <w:t xml:space="preserve"> </w:t>
      </w:r>
      <w:r w:rsidR="00444AB7" w:rsidRPr="00A70E4B">
        <w:rPr>
          <w:szCs w:val="24"/>
        </w:rPr>
        <w:t>ISO 27001 certificate by the Consultant is not mandatory, but shall be considered as advantage;</w:t>
      </w:r>
    </w:p>
    <w:p w:rsidR="00947EFD" w:rsidRDefault="00947EFD" w:rsidP="008547DB">
      <w:pPr>
        <w:tabs>
          <w:tab w:val="left" w:pos="567"/>
        </w:tabs>
        <w:ind w:left="284" w:hanging="284"/>
        <w:jc w:val="both"/>
        <w:rPr>
          <w:szCs w:val="24"/>
        </w:rPr>
      </w:pP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r w:rsidRPr="008C0BEC">
        <w:rPr>
          <w:b/>
          <w:bCs/>
          <w:szCs w:val="24"/>
          <w:lang w:val="en-US"/>
        </w:rPr>
        <w:t>Contract Arrangements</w:t>
      </w: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p>
    <w:p w:rsidR="006F1A25" w:rsidRPr="006F1A25" w:rsidRDefault="00A503BD" w:rsidP="006F1A25">
      <w:pPr>
        <w:spacing w:after="240"/>
        <w:jc w:val="both"/>
        <w:rPr>
          <w:szCs w:val="24"/>
          <w:lang w:val="en-US"/>
        </w:rPr>
      </w:pPr>
      <w:r w:rsidRPr="008C0BEC">
        <w:rPr>
          <w:szCs w:val="24"/>
          <w:lang w:val="en-US"/>
        </w:rPr>
        <w:t>6</w:t>
      </w:r>
      <w:r w:rsidR="008D5E33" w:rsidRPr="008C0BEC">
        <w:rPr>
          <w:szCs w:val="24"/>
          <w:lang w:val="en-US"/>
        </w:rPr>
        <w:t>.</w:t>
      </w:r>
      <w:r w:rsidR="008D5E33" w:rsidRPr="008C0BEC">
        <w:rPr>
          <w:szCs w:val="24"/>
          <w:lang w:val="en-US"/>
        </w:rPr>
        <w:tab/>
      </w:r>
      <w:r w:rsidR="002D704C">
        <w:rPr>
          <w:szCs w:val="24"/>
          <w:lang w:val="en-US"/>
        </w:rPr>
        <w:t xml:space="preserve"> </w:t>
      </w:r>
      <w:r w:rsidR="006F1A25" w:rsidRPr="006F1A25">
        <w:rPr>
          <w:szCs w:val="24"/>
          <w:lang w:val="en-US"/>
        </w:rPr>
        <w:t xml:space="preserve">The Consultant will work under a lump sum contract. </w:t>
      </w:r>
    </w:p>
    <w:p w:rsidR="006F1A25" w:rsidRPr="006F1A25" w:rsidRDefault="006F1A25" w:rsidP="006F1A25">
      <w:pPr>
        <w:spacing w:after="240"/>
        <w:jc w:val="both"/>
        <w:rPr>
          <w:szCs w:val="24"/>
          <w:lang w:val="en-US"/>
        </w:rPr>
      </w:pPr>
      <w:r w:rsidRPr="006F1A25">
        <w:rPr>
          <w:szCs w:val="24"/>
          <w:lang w:val="en-US"/>
        </w:rPr>
        <w:t>The assignment shall commence on the day of contract signature and shall continue until the finalization of activities and submission of outputs and reports</w:t>
      </w:r>
      <w:r w:rsidR="0082190E">
        <w:rPr>
          <w:szCs w:val="24"/>
          <w:lang w:val="en-US"/>
        </w:rPr>
        <w:t xml:space="preserve"> as defined above</w:t>
      </w:r>
      <w:r w:rsidRPr="006F1A25">
        <w:rPr>
          <w:szCs w:val="24"/>
          <w:lang w:val="en-US"/>
        </w:rPr>
        <w:t xml:space="preserve">. </w:t>
      </w:r>
    </w:p>
    <w:p w:rsidR="006F1A25" w:rsidRPr="006F1A25" w:rsidRDefault="00456710" w:rsidP="006F1A25">
      <w:pPr>
        <w:spacing w:after="240"/>
        <w:jc w:val="both"/>
        <w:rPr>
          <w:szCs w:val="24"/>
          <w:lang w:val="en-US"/>
        </w:rPr>
      </w:pPr>
      <w:r>
        <w:rPr>
          <w:szCs w:val="24"/>
          <w:lang w:val="en-US"/>
        </w:rPr>
        <w:t>Activities under Items</w:t>
      </w:r>
      <w:r w:rsidR="006F1A25" w:rsidRPr="006F1A25">
        <w:rPr>
          <w:szCs w:val="24"/>
          <w:lang w:val="en-US"/>
        </w:rPr>
        <w:t xml:space="preserve"> </w:t>
      </w:r>
      <w:r w:rsidR="006F1A25">
        <w:rPr>
          <w:szCs w:val="24"/>
          <w:lang w:val="en-US"/>
        </w:rPr>
        <w:t>4.a. through 4.e.</w:t>
      </w:r>
      <w:r w:rsidR="006F1A25" w:rsidRPr="006F1A25">
        <w:rPr>
          <w:szCs w:val="24"/>
          <w:lang w:val="en-US"/>
        </w:rPr>
        <w:t xml:space="preserve"> above shall be finalized within 1 month following signature of the contract. </w:t>
      </w:r>
    </w:p>
    <w:p w:rsidR="006F1A25" w:rsidRPr="006F1A25" w:rsidRDefault="00456710" w:rsidP="006F1A25">
      <w:pPr>
        <w:spacing w:after="240"/>
        <w:jc w:val="both"/>
        <w:rPr>
          <w:szCs w:val="24"/>
          <w:lang w:val="en-US"/>
        </w:rPr>
      </w:pPr>
      <w:r>
        <w:rPr>
          <w:szCs w:val="24"/>
          <w:lang w:val="en-US"/>
        </w:rPr>
        <w:t>Activity under Items</w:t>
      </w:r>
      <w:r w:rsidR="006F1A25" w:rsidRPr="006F1A25">
        <w:rPr>
          <w:szCs w:val="24"/>
          <w:lang w:val="en-US"/>
        </w:rPr>
        <w:t xml:space="preserve"> </w:t>
      </w:r>
      <w:r w:rsidR="006F1A25">
        <w:rPr>
          <w:szCs w:val="24"/>
          <w:lang w:val="en-US"/>
        </w:rPr>
        <w:t xml:space="preserve">4.f. through 4.h. shall be finalized within 1,5 months following the acceptance of </w:t>
      </w:r>
      <w:r>
        <w:rPr>
          <w:szCs w:val="24"/>
          <w:lang w:val="en-US"/>
        </w:rPr>
        <w:t xml:space="preserve">the </w:t>
      </w:r>
      <w:r w:rsidR="006F1A25">
        <w:rPr>
          <w:szCs w:val="24"/>
          <w:lang w:val="en-US"/>
        </w:rPr>
        <w:t>deliverable under 4.e by the MoJ.</w:t>
      </w:r>
    </w:p>
    <w:p w:rsidR="006F1A25" w:rsidRDefault="006F1A25" w:rsidP="006F1A25">
      <w:pPr>
        <w:spacing w:after="240"/>
        <w:jc w:val="both"/>
        <w:rPr>
          <w:szCs w:val="24"/>
          <w:lang w:val="en-US"/>
        </w:rPr>
      </w:pPr>
      <w:r w:rsidRPr="006F1A25">
        <w:rPr>
          <w:szCs w:val="24"/>
          <w:lang w:val="en-US"/>
        </w:rPr>
        <w:t xml:space="preserve">Estimated total duration is </w:t>
      </w:r>
      <w:r>
        <w:rPr>
          <w:szCs w:val="24"/>
          <w:lang w:val="en-US"/>
        </w:rPr>
        <w:t>3</w:t>
      </w:r>
      <w:r w:rsidRPr="006F1A25">
        <w:rPr>
          <w:szCs w:val="24"/>
          <w:lang w:val="en-US"/>
        </w:rPr>
        <w:t xml:space="preserve"> months.</w:t>
      </w:r>
    </w:p>
    <w:p w:rsidR="00444AB7" w:rsidRPr="00444AB7" w:rsidRDefault="00CD072D" w:rsidP="006F1A25">
      <w:pPr>
        <w:spacing w:after="240"/>
        <w:jc w:val="both"/>
        <w:rPr>
          <w:b/>
          <w:szCs w:val="24"/>
          <w:lang w:val="en-US"/>
        </w:rPr>
      </w:pPr>
      <w:r>
        <w:rPr>
          <w:b/>
          <w:szCs w:val="24"/>
          <w:lang w:val="en-US"/>
        </w:rPr>
        <w:t>Please N</w:t>
      </w:r>
      <w:r w:rsidR="00444AB7">
        <w:rPr>
          <w:b/>
          <w:szCs w:val="24"/>
          <w:lang w:val="en-US"/>
        </w:rPr>
        <w:t xml:space="preserve">ote: Pursuant to applicable regulation governing official secret and confidential documents, interested Consultants shall be provided with more data on the selected facilities and required systems after </w:t>
      </w:r>
      <w:r>
        <w:rPr>
          <w:b/>
          <w:szCs w:val="24"/>
          <w:lang w:val="en-US"/>
        </w:rPr>
        <w:t>signing the C</w:t>
      </w:r>
      <w:r w:rsidR="00444AB7">
        <w:rPr>
          <w:b/>
          <w:szCs w:val="24"/>
          <w:lang w:val="en-US"/>
        </w:rPr>
        <w:t>onfidentialit</w:t>
      </w:r>
      <w:r>
        <w:rPr>
          <w:b/>
          <w:szCs w:val="24"/>
          <w:lang w:val="en-US"/>
        </w:rPr>
        <w:t xml:space="preserve">y Statement. The statement shall be provided only to Consultants who submit their Expression of Interest. </w:t>
      </w:r>
      <w:r w:rsidR="00444AB7">
        <w:rPr>
          <w:b/>
          <w:szCs w:val="24"/>
          <w:lang w:val="en-US"/>
        </w:rPr>
        <w:t xml:space="preserve">  </w:t>
      </w:r>
    </w:p>
    <w:p w:rsidR="003113BB" w:rsidRDefault="003113BB" w:rsidP="008D5E33">
      <w:pPr>
        <w:tabs>
          <w:tab w:val="left" w:pos="-720"/>
          <w:tab w:val="left" w:pos="0"/>
          <w:tab w:val="left" w:pos="720"/>
        </w:tabs>
        <w:spacing w:line="275" w:lineRule="atLeast"/>
        <w:ind w:left="1440" w:hanging="1440"/>
        <w:jc w:val="both"/>
        <w:rPr>
          <w:b/>
          <w:bCs/>
          <w:szCs w:val="24"/>
          <w:lang w:val="en-US"/>
        </w:rPr>
      </w:pPr>
    </w:p>
    <w:p w:rsidR="000F0FEB" w:rsidRDefault="000F0FEB" w:rsidP="008D5E33">
      <w:pPr>
        <w:tabs>
          <w:tab w:val="left" w:pos="-720"/>
          <w:tab w:val="left" w:pos="0"/>
          <w:tab w:val="left" w:pos="720"/>
        </w:tabs>
        <w:spacing w:line="275" w:lineRule="atLeast"/>
        <w:ind w:left="1440" w:hanging="1440"/>
        <w:jc w:val="both"/>
        <w:rPr>
          <w:b/>
          <w:bCs/>
          <w:szCs w:val="24"/>
          <w:lang w:val="en-US"/>
        </w:rPr>
      </w:pPr>
    </w:p>
    <w:p w:rsidR="000F0FEB" w:rsidRDefault="000F0FEB" w:rsidP="008D5E33">
      <w:pPr>
        <w:tabs>
          <w:tab w:val="left" w:pos="-720"/>
          <w:tab w:val="left" w:pos="0"/>
          <w:tab w:val="left" w:pos="720"/>
        </w:tabs>
        <w:spacing w:line="275" w:lineRule="atLeast"/>
        <w:ind w:left="1440" w:hanging="1440"/>
        <w:jc w:val="both"/>
        <w:rPr>
          <w:b/>
          <w:bCs/>
          <w:szCs w:val="24"/>
          <w:lang w:val="en-US"/>
        </w:rPr>
      </w:pPr>
    </w:p>
    <w:p w:rsidR="000F0FEB" w:rsidRDefault="000F0FEB" w:rsidP="008D5E33">
      <w:pPr>
        <w:tabs>
          <w:tab w:val="left" w:pos="-720"/>
          <w:tab w:val="left" w:pos="0"/>
          <w:tab w:val="left" w:pos="720"/>
        </w:tabs>
        <w:spacing w:line="275" w:lineRule="atLeast"/>
        <w:ind w:left="1440" w:hanging="1440"/>
        <w:jc w:val="both"/>
        <w:rPr>
          <w:b/>
          <w:bCs/>
          <w:szCs w:val="24"/>
          <w:lang w:val="en-US"/>
        </w:rPr>
      </w:pPr>
    </w:p>
    <w:p w:rsidR="008D5E33" w:rsidRPr="008C0BEC" w:rsidRDefault="008D5E33" w:rsidP="008D5E33">
      <w:pPr>
        <w:tabs>
          <w:tab w:val="left" w:pos="-720"/>
          <w:tab w:val="left" w:pos="0"/>
          <w:tab w:val="left" w:pos="720"/>
        </w:tabs>
        <w:spacing w:line="275" w:lineRule="atLeast"/>
        <w:ind w:left="1440" w:hanging="1440"/>
        <w:jc w:val="both"/>
        <w:rPr>
          <w:b/>
          <w:bCs/>
          <w:szCs w:val="24"/>
          <w:lang w:val="en-US"/>
        </w:rPr>
      </w:pPr>
      <w:r w:rsidRPr="00693535">
        <w:rPr>
          <w:b/>
          <w:bCs/>
          <w:szCs w:val="24"/>
          <w:lang w:val="en-US"/>
        </w:rPr>
        <w:lastRenderedPageBreak/>
        <w:t>Services and Facilities to be Provided by the Client:</w:t>
      </w:r>
    </w:p>
    <w:p w:rsidR="008D5E33" w:rsidRPr="008C0BEC" w:rsidRDefault="008D5E33" w:rsidP="008D5E33">
      <w:pPr>
        <w:tabs>
          <w:tab w:val="left" w:pos="-720"/>
        </w:tabs>
        <w:spacing w:line="275" w:lineRule="atLeast"/>
        <w:jc w:val="both"/>
        <w:rPr>
          <w:szCs w:val="24"/>
          <w:lang w:val="en-US"/>
        </w:rPr>
      </w:pPr>
    </w:p>
    <w:p w:rsidR="008D5E33" w:rsidRPr="008C0BEC" w:rsidRDefault="00A503BD" w:rsidP="008D5E33">
      <w:pPr>
        <w:spacing w:after="120"/>
        <w:jc w:val="both"/>
        <w:rPr>
          <w:iCs/>
          <w:szCs w:val="24"/>
          <w:lang w:val="en-US"/>
        </w:rPr>
      </w:pPr>
      <w:r w:rsidRPr="008C0BEC">
        <w:rPr>
          <w:szCs w:val="24"/>
          <w:lang w:val="en-US"/>
        </w:rPr>
        <w:t>7</w:t>
      </w:r>
      <w:r w:rsidR="008D5E33" w:rsidRPr="008C0BEC">
        <w:rPr>
          <w:szCs w:val="24"/>
          <w:lang w:val="en-US"/>
        </w:rPr>
        <w:t>. The Client shall:</w:t>
      </w:r>
    </w:p>
    <w:p w:rsidR="00F612D5" w:rsidRPr="00F612D5" w:rsidRDefault="008D5E33" w:rsidP="00F612D5">
      <w:pPr>
        <w:numPr>
          <w:ilvl w:val="2"/>
          <w:numId w:val="3"/>
        </w:numPr>
        <w:tabs>
          <w:tab w:val="left" w:pos="-720"/>
          <w:tab w:val="left" w:pos="0"/>
        </w:tabs>
        <w:spacing w:after="120" w:line="275" w:lineRule="atLeast"/>
        <w:ind w:left="1260" w:hanging="540"/>
        <w:jc w:val="both"/>
        <w:rPr>
          <w:iCs/>
          <w:szCs w:val="24"/>
          <w:lang w:val="en-US"/>
        </w:rPr>
      </w:pPr>
      <w:r w:rsidRPr="008C0BEC">
        <w:rPr>
          <w:iCs/>
          <w:szCs w:val="24"/>
          <w:lang w:val="en-US"/>
        </w:rPr>
        <w:t xml:space="preserve">Issue all such instructions </w:t>
      </w:r>
      <w:r w:rsidR="00F612D5">
        <w:rPr>
          <w:iCs/>
          <w:szCs w:val="24"/>
          <w:lang w:val="en-US"/>
        </w:rPr>
        <w:t xml:space="preserve">and/or guidelines </w:t>
      </w:r>
      <w:r w:rsidRPr="008C0BEC">
        <w:rPr>
          <w:iCs/>
          <w:szCs w:val="24"/>
          <w:lang w:val="en-US"/>
        </w:rPr>
        <w:t>as may be necessary or appropriate for the prompt and effective implementation of the Services;</w:t>
      </w:r>
    </w:p>
    <w:p w:rsidR="008D5E33" w:rsidRPr="008C0BEC" w:rsidRDefault="008D5E33" w:rsidP="008D5E33">
      <w:pPr>
        <w:numPr>
          <w:ilvl w:val="2"/>
          <w:numId w:val="3"/>
        </w:numPr>
        <w:tabs>
          <w:tab w:val="left" w:pos="-720"/>
          <w:tab w:val="left" w:pos="0"/>
        </w:tabs>
        <w:spacing w:after="120" w:line="275" w:lineRule="atLeast"/>
        <w:ind w:left="1260" w:hanging="540"/>
        <w:jc w:val="both"/>
        <w:rPr>
          <w:iCs/>
          <w:szCs w:val="24"/>
          <w:lang w:val="en-US"/>
        </w:rPr>
      </w:pPr>
      <w:r w:rsidRPr="008C0BEC">
        <w:rPr>
          <w:iCs/>
          <w:szCs w:val="24"/>
          <w:lang w:val="en-US"/>
        </w:rPr>
        <w:t>Provide the Consultant</w:t>
      </w:r>
      <w:r w:rsidR="008F22D6" w:rsidRPr="008C0BEC">
        <w:rPr>
          <w:iCs/>
          <w:szCs w:val="24"/>
          <w:lang w:val="en-US"/>
        </w:rPr>
        <w:t>(s)</w:t>
      </w:r>
      <w:r w:rsidRPr="008C0BEC">
        <w:rPr>
          <w:iCs/>
          <w:szCs w:val="24"/>
          <w:lang w:val="en-US"/>
        </w:rPr>
        <w:t xml:space="preserve"> with all re</w:t>
      </w:r>
      <w:r w:rsidR="00F612D5">
        <w:rPr>
          <w:iCs/>
          <w:szCs w:val="24"/>
          <w:lang w:val="en-US"/>
        </w:rPr>
        <w:t>levant documentation available.</w:t>
      </w:r>
    </w:p>
    <w:p w:rsidR="00290FFE" w:rsidRDefault="00290FFE" w:rsidP="008D5E33">
      <w:pPr>
        <w:tabs>
          <w:tab w:val="left" w:pos="0"/>
          <w:tab w:val="left" w:pos="720"/>
          <w:tab w:val="left" w:pos="1080"/>
        </w:tabs>
        <w:jc w:val="center"/>
        <w:rPr>
          <w:rFonts w:ascii="Times New Roman Bold" w:hAnsi="Times New Roman Bold"/>
          <w:b/>
          <w:smallCaps/>
        </w:rPr>
      </w:pPr>
    </w:p>
    <w:p w:rsidR="007C0DBC" w:rsidRDefault="007C0DBC" w:rsidP="008D5E33">
      <w:pPr>
        <w:tabs>
          <w:tab w:val="left" w:pos="0"/>
          <w:tab w:val="left" w:pos="720"/>
          <w:tab w:val="left" w:pos="1080"/>
        </w:tabs>
        <w:jc w:val="center"/>
        <w:rPr>
          <w:rFonts w:ascii="Times New Roman Bold" w:hAnsi="Times New Roman Bold"/>
          <w:b/>
          <w:smallCaps/>
        </w:rPr>
      </w:pPr>
    </w:p>
    <w:p w:rsidR="00444AB7" w:rsidRDefault="00444AB7" w:rsidP="008D5E33">
      <w:pPr>
        <w:tabs>
          <w:tab w:val="left" w:pos="0"/>
          <w:tab w:val="left" w:pos="720"/>
          <w:tab w:val="left" w:pos="1080"/>
        </w:tabs>
        <w:jc w:val="center"/>
        <w:rPr>
          <w:rFonts w:ascii="Times New Roman Bold" w:hAnsi="Times New Roman Bold"/>
          <w:b/>
          <w:smallCaps/>
        </w:rPr>
      </w:pPr>
    </w:p>
    <w:p w:rsidR="00444AB7" w:rsidRDefault="00444AB7" w:rsidP="008D5E33">
      <w:pPr>
        <w:tabs>
          <w:tab w:val="left" w:pos="0"/>
          <w:tab w:val="left" w:pos="720"/>
          <w:tab w:val="left" w:pos="1080"/>
        </w:tabs>
        <w:jc w:val="center"/>
        <w:rPr>
          <w:rFonts w:ascii="Times New Roman Bold" w:hAnsi="Times New Roman Bold"/>
          <w:b/>
          <w:smallCaps/>
        </w:rPr>
      </w:pPr>
    </w:p>
    <w:p w:rsidR="00444AB7" w:rsidRDefault="00444AB7" w:rsidP="008D5E33">
      <w:pPr>
        <w:tabs>
          <w:tab w:val="left" w:pos="0"/>
          <w:tab w:val="left" w:pos="720"/>
          <w:tab w:val="left" w:pos="1080"/>
        </w:tabs>
        <w:jc w:val="center"/>
        <w:rPr>
          <w:rFonts w:ascii="Times New Roman Bold" w:hAnsi="Times New Roman Bold"/>
          <w:b/>
          <w:smallCaps/>
        </w:rPr>
      </w:pPr>
    </w:p>
    <w:p w:rsidR="00444AB7" w:rsidRDefault="00444AB7" w:rsidP="008D5E33">
      <w:pPr>
        <w:tabs>
          <w:tab w:val="left" w:pos="0"/>
          <w:tab w:val="left" w:pos="720"/>
          <w:tab w:val="left" w:pos="1080"/>
        </w:tabs>
        <w:jc w:val="center"/>
        <w:rPr>
          <w:rFonts w:ascii="Times New Roman Bold" w:hAnsi="Times New Roman Bold"/>
          <w:b/>
          <w:smallCaps/>
        </w:rPr>
      </w:pPr>
    </w:p>
    <w:p w:rsidR="00444AB7" w:rsidRDefault="00444AB7" w:rsidP="008D5E33">
      <w:pPr>
        <w:tabs>
          <w:tab w:val="left" w:pos="0"/>
          <w:tab w:val="left" w:pos="720"/>
          <w:tab w:val="left" w:pos="1080"/>
        </w:tabs>
        <w:jc w:val="center"/>
        <w:rPr>
          <w:rFonts w:ascii="Times New Roman Bold" w:hAnsi="Times New Roman Bold"/>
          <w:b/>
          <w:smallCaps/>
        </w:rPr>
      </w:pPr>
    </w:p>
    <w:p w:rsidR="008D5E33" w:rsidRPr="008C0BEC" w:rsidRDefault="008D5E33" w:rsidP="008D5E33">
      <w:pPr>
        <w:tabs>
          <w:tab w:val="left" w:pos="0"/>
          <w:tab w:val="left" w:pos="720"/>
          <w:tab w:val="left" w:pos="1080"/>
        </w:tabs>
        <w:jc w:val="center"/>
        <w:rPr>
          <w:b/>
        </w:rPr>
      </w:pPr>
      <w:r w:rsidRPr="008C0BEC">
        <w:rPr>
          <w:rFonts w:ascii="Times New Roman Bold" w:hAnsi="Times New Roman Bold"/>
          <w:b/>
          <w:smallCaps/>
        </w:rPr>
        <w:t>Annex</w:t>
      </w:r>
      <w:r w:rsidRPr="008C0BEC">
        <w:rPr>
          <w:b/>
        </w:rPr>
        <w:t xml:space="preserve"> </w:t>
      </w:r>
      <w:r w:rsidR="009C58D1">
        <w:rPr>
          <w:b/>
        </w:rPr>
        <w:t>1</w:t>
      </w:r>
    </w:p>
    <w:p w:rsidR="008D5E33" w:rsidRPr="008C0BEC" w:rsidRDefault="008D5E33" w:rsidP="008D5E33">
      <w:pPr>
        <w:tabs>
          <w:tab w:val="left" w:pos="0"/>
          <w:tab w:val="left" w:pos="720"/>
          <w:tab w:val="left" w:pos="1080"/>
        </w:tabs>
        <w:jc w:val="center"/>
        <w:rPr>
          <w:b/>
        </w:rPr>
      </w:pPr>
      <w:r w:rsidRPr="008C0BEC">
        <w:rPr>
          <w:b/>
        </w:rPr>
        <w:t>Consultant’s Reporting Obligations</w:t>
      </w:r>
    </w:p>
    <w:p w:rsidR="008D5E33" w:rsidRPr="008C0BEC" w:rsidRDefault="008D5E33" w:rsidP="008D5E33">
      <w:pPr>
        <w:jc w:val="both"/>
        <w:rPr>
          <w:szCs w:val="24"/>
          <w:lang w:val="en-US"/>
        </w:rPr>
      </w:pPr>
    </w:p>
    <w:p w:rsidR="00D2673B" w:rsidRPr="00D2673B" w:rsidRDefault="00D2673B" w:rsidP="00D2673B">
      <w:pPr>
        <w:tabs>
          <w:tab w:val="left" w:pos="0"/>
          <w:tab w:val="left" w:pos="720"/>
          <w:tab w:val="left" w:pos="1080"/>
        </w:tabs>
        <w:jc w:val="both"/>
        <w:rPr>
          <w:szCs w:val="24"/>
          <w:lang w:val="en-US"/>
        </w:rPr>
      </w:pPr>
      <w:r w:rsidRPr="00D2673B">
        <w:rPr>
          <w:szCs w:val="24"/>
          <w:lang w:val="en-US"/>
        </w:rPr>
        <w:t xml:space="preserve">Detailed </w:t>
      </w:r>
      <w:r w:rsidR="003113BB">
        <w:rPr>
          <w:szCs w:val="24"/>
          <w:lang w:val="en-US"/>
        </w:rPr>
        <w:t xml:space="preserve">suggested </w:t>
      </w:r>
      <w:r w:rsidRPr="00D2673B">
        <w:rPr>
          <w:szCs w:val="24"/>
          <w:lang w:val="en-US"/>
        </w:rPr>
        <w:t xml:space="preserve">timeline for the delivery of outputs </w:t>
      </w:r>
      <w:r w:rsidR="003113BB">
        <w:rPr>
          <w:szCs w:val="24"/>
          <w:lang w:val="en-US"/>
        </w:rPr>
        <w:t>is</w:t>
      </w:r>
      <w:r w:rsidRPr="00D2673B">
        <w:rPr>
          <w:szCs w:val="24"/>
          <w:lang w:val="en-US"/>
        </w:rPr>
        <w:t xml:space="preserve"> presented in table below:</w:t>
      </w:r>
    </w:p>
    <w:p w:rsidR="00D2673B" w:rsidRPr="00D2673B" w:rsidRDefault="00D2673B" w:rsidP="00D2673B">
      <w:pPr>
        <w:tabs>
          <w:tab w:val="left" w:pos="0"/>
          <w:tab w:val="left" w:pos="720"/>
          <w:tab w:val="left" w:pos="1080"/>
        </w:tabs>
        <w:rPr>
          <w:szCs w:val="24"/>
          <w:lang w:val="en-US"/>
        </w:rPr>
      </w:pPr>
      <w:r w:rsidRPr="00D2673B">
        <w:rPr>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904"/>
        <w:gridCol w:w="3049"/>
      </w:tblGrid>
      <w:tr w:rsidR="00D2673B" w:rsidRPr="00D2673B" w:rsidTr="00B46594">
        <w:tc>
          <w:tcPr>
            <w:tcW w:w="3228"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Description of the output</w:t>
            </w:r>
          </w:p>
        </w:tc>
        <w:tc>
          <w:tcPr>
            <w:tcW w:w="2904"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Duration of the activity</w:t>
            </w:r>
          </w:p>
        </w:tc>
        <w:tc>
          <w:tcPr>
            <w:tcW w:w="3049" w:type="dxa"/>
            <w:shd w:val="clear" w:color="auto" w:fill="BFBFBF"/>
          </w:tcPr>
          <w:p w:rsidR="00D2673B" w:rsidRPr="00D2673B" w:rsidRDefault="00D2673B" w:rsidP="00D2673B">
            <w:pPr>
              <w:tabs>
                <w:tab w:val="left" w:pos="0"/>
                <w:tab w:val="left" w:pos="720"/>
                <w:tab w:val="left" w:pos="1080"/>
              </w:tabs>
              <w:spacing w:before="120" w:after="120"/>
              <w:jc w:val="center"/>
              <w:rPr>
                <w:b/>
                <w:szCs w:val="24"/>
                <w:lang w:val="en-US"/>
              </w:rPr>
            </w:pPr>
            <w:r w:rsidRPr="00D2673B">
              <w:rPr>
                <w:b/>
                <w:szCs w:val="24"/>
                <w:lang w:val="en-US"/>
              </w:rPr>
              <w:t>Indicative completion date</w:t>
            </w:r>
          </w:p>
        </w:tc>
      </w:tr>
      <w:tr w:rsidR="00D2673B" w:rsidRPr="00D2673B" w:rsidTr="00B46594">
        <w:tc>
          <w:tcPr>
            <w:tcW w:w="3228" w:type="dxa"/>
            <w:shd w:val="clear" w:color="auto" w:fill="auto"/>
          </w:tcPr>
          <w:p w:rsidR="00D2673B" w:rsidRPr="00D2673B" w:rsidRDefault="006F1A25" w:rsidP="00D2673B">
            <w:pPr>
              <w:tabs>
                <w:tab w:val="left" w:pos="709"/>
              </w:tabs>
              <w:spacing w:after="120"/>
              <w:jc w:val="both"/>
              <w:rPr>
                <w:b/>
                <w:szCs w:val="24"/>
                <w:lang w:val="en-US"/>
              </w:rPr>
            </w:pPr>
            <w:r>
              <w:rPr>
                <w:b/>
                <w:szCs w:val="24"/>
                <w:lang w:val="en-US"/>
              </w:rPr>
              <w:t>Draft</w:t>
            </w:r>
            <w:r w:rsidRPr="006F1A25">
              <w:rPr>
                <w:b/>
                <w:szCs w:val="24"/>
                <w:lang w:val="en-US"/>
              </w:rPr>
              <w:t xml:space="preserve"> concept design of the technical security system for each of</w:t>
            </w:r>
            <w:r>
              <w:rPr>
                <w:b/>
                <w:szCs w:val="24"/>
                <w:lang w:val="en-US"/>
              </w:rPr>
              <w:t xml:space="preserve"> the selected locations delivered to the MoJ for review</w:t>
            </w:r>
          </w:p>
        </w:tc>
        <w:tc>
          <w:tcPr>
            <w:tcW w:w="2904" w:type="dxa"/>
            <w:shd w:val="clear" w:color="auto" w:fill="auto"/>
          </w:tcPr>
          <w:p w:rsidR="00D2673B" w:rsidRPr="00C151C9" w:rsidRDefault="006F1A25" w:rsidP="006F1A25">
            <w:pPr>
              <w:pStyle w:val="ListParagraph"/>
              <w:numPr>
                <w:ilvl w:val="0"/>
                <w:numId w:val="33"/>
              </w:numPr>
              <w:tabs>
                <w:tab w:val="left" w:pos="0"/>
                <w:tab w:val="left" w:pos="720"/>
                <w:tab w:val="left" w:pos="1080"/>
              </w:tabs>
              <w:spacing w:before="120" w:after="120"/>
              <w:jc w:val="center"/>
              <w:rPr>
                <w:szCs w:val="24"/>
                <w:lang w:val="en-US"/>
              </w:rPr>
            </w:pPr>
            <w:r>
              <w:rPr>
                <w:szCs w:val="24"/>
                <w:lang w:val="en-US"/>
              </w:rPr>
              <w:t>days</w:t>
            </w:r>
          </w:p>
        </w:tc>
        <w:tc>
          <w:tcPr>
            <w:tcW w:w="3049" w:type="dxa"/>
            <w:shd w:val="clear" w:color="auto" w:fill="auto"/>
          </w:tcPr>
          <w:p w:rsidR="00D2673B" w:rsidRPr="00166D8D" w:rsidRDefault="000F0FEB" w:rsidP="000F0FEB">
            <w:pPr>
              <w:tabs>
                <w:tab w:val="left" w:pos="0"/>
                <w:tab w:val="left" w:pos="720"/>
                <w:tab w:val="left" w:pos="1080"/>
              </w:tabs>
              <w:spacing w:before="120" w:after="120"/>
              <w:ind w:left="-3"/>
              <w:jc w:val="center"/>
              <w:rPr>
                <w:szCs w:val="24"/>
                <w:lang w:val="en-US"/>
              </w:rPr>
            </w:pPr>
            <w:r w:rsidRPr="00166D8D">
              <w:rPr>
                <w:szCs w:val="24"/>
                <w:lang w:val="en-US"/>
              </w:rPr>
              <w:t>31.10.2015.</w:t>
            </w:r>
          </w:p>
        </w:tc>
      </w:tr>
      <w:tr w:rsidR="00D2673B" w:rsidRPr="00D2673B" w:rsidTr="00B46594">
        <w:tc>
          <w:tcPr>
            <w:tcW w:w="3228" w:type="dxa"/>
            <w:shd w:val="clear" w:color="auto" w:fill="auto"/>
          </w:tcPr>
          <w:p w:rsidR="00D2673B" w:rsidRPr="006F1A25" w:rsidRDefault="006F1A25" w:rsidP="00D2673B">
            <w:pPr>
              <w:tabs>
                <w:tab w:val="left" w:pos="709"/>
              </w:tabs>
              <w:spacing w:after="120"/>
              <w:jc w:val="both"/>
              <w:rPr>
                <w:b/>
              </w:rPr>
            </w:pPr>
            <w:r w:rsidRPr="006F1A25">
              <w:rPr>
                <w:b/>
              </w:rPr>
              <w:t>Detailed design</w:t>
            </w:r>
            <w:r>
              <w:rPr>
                <w:b/>
              </w:rPr>
              <w:t xml:space="preserve"> with Tech. Requirements, Tech. Specifications, Drawings and B/Gs for each of the facilities</w:t>
            </w:r>
          </w:p>
        </w:tc>
        <w:tc>
          <w:tcPr>
            <w:tcW w:w="2904" w:type="dxa"/>
            <w:shd w:val="clear" w:color="auto" w:fill="auto"/>
          </w:tcPr>
          <w:p w:rsidR="00D2673B" w:rsidRPr="00D2673B" w:rsidRDefault="0082190E" w:rsidP="006F1A25">
            <w:pPr>
              <w:tabs>
                <w:tab w:val="left" w:pos="0"/>
                <w:tab w:val="left" w:pos="720"/>
                <w:tab w:val="left" w:pos="1080"/>
              </w:tabs>
              <w:spacing w:before="120" w:after="120"/>
              <w:jc w:val="center"/>
              <w:rPr>
                <w:szCs w:val="24"/>
                <w:highlight w:val="yellow"/>
                <w:lang w:val="en-US"/>
              </w:rPr>
            </w:pPr>
            <w:r>
              <w:rPr>
                <w:szCs w:val="24"/>
                <w:lang w:val="en-US"/>
              </w:rPr>
              <w:t>75</w:t>
            </w:r>
            <w:r w:rsidR="006F1A25" w:rsidRPr="006F1A25">
              <w:rPr>
                <w:szCs w:val="24"/>
                <w:lang w:val="en-US"/>
              </w:rPr>
              <w:t xml:space="preserve"> days</w:t>
            </w:r>
          </w:p>
        </w:tc>
        <w:tc>
          <w:tcPr>
            <w:tcW w:w="3049" w:type="dxa"/>
            <w:shd w:val="clear" w:color="auto" w:fill="auto"/>
          </w:tcPr>
          <w:p w:rsidR="00D2673B" w:rsidRPr="00166D8D" w:rsidRDefault="000F0FEB" w:rsidP="000F0FEB">
            <w:pPr>
              <w:tabs>
                <w:tab w:val="left" w:pos="0"/>
                <w:tab w:val="left" w:pos="720"/>
                <w:tab w:val="left" w:pos="1080"/>
              </w:tabs>
              <w:spacing w:before="120" w:after="120"/>
              <w:jc w:val="center"/>
              <w:rPr>
                <w:szCs w:val="24"/>
                <w:lang w:val="en-US"/>
              </w:rPr>
            </w:pPr>
            <w:r w:rsidRPr="00166D8D">
              <w:rPr>
                <w:szCs w:val="24"/>
                <w:lang w:val="en-US"/>
              </w:rPr>
              <w:t>15.12.2015.</w:t>
            </w:r>
          </w:p>
        </w:tc>
      </w:tr>
      <w:tr w:rsidR="00175C29" w:rsidRPr="00D2673B" w:rsidTr="00B46594">
        <w:tc>
          <w:tcPr>
            <w:tcW w:w="3228" w:type="dxa"/>
            <w:shd w:val="clear" w:color="auto" w:fill="auto"/>
          </w:tcPr>
          <w:p w:rsidR="004C0315" w:rsidRPr="006F1A25" w:rsidRDefault="006F1A25" w:rsidP="006F1A25">
            <w:pPr>
              <w:pStyle w:val="ListParagraph"/>
              <w:tabs>
                <w:tab w:val="left" w:pos="176"/>
              </w:tabs>
              <w:spacing w:after="120"/>
              <w:ind w:left="34"/>
              <w:jc w:val="both"/>
              <w:rPr>
                <w:b/>
              </w:rPr>
            </w:pPr>
            <w:r>
              <w:rPr>
                <w:b/>
              </w:rPr>
              <w:t>Final Report</w:t>
            </w:r>
          </w:p>
        </w:tc>
        <w:tc>
          <w:tcPr>
            <w:tcW w:w="2904" w:type="dxa"/>
            <w:shd w:val="clear" w:color="auto" w:fill="auto"/>
          </w:tcPr>
          <w:p w:rsidR="00175C29" w:rsidRPr="003113BB" w:rsidRDefault="0082190E" w:rsidP="006F1A25">
            <w:pPr>
              <w:pStyle w:val="ListParagraph"/>
              <w:tabs>
                <w:tab w:val="left" w:pos="176"/>
              </w:tabs>
              <w:spacing w:after="120"/>
              <w:ind w:left="0"/>
              <w:jc w:val="center"/>
            </w:pPr>
            <w:r>
              <w:t>75</w:t>
            </w:r>
            <w:r w:rsidR="006F1A25">
              <w:t xml:space="preserve"> days</w:t>
            </w:r>
          </w:p>
        </w:tc>
        <w:tc>
          <w:tcPr>
            <w:tcW w:w="3049" w:type="dxa"/>
            <w:shd w:val="clear" w:color="auto" w:fill="auto"/>
          </w:tcPr>
          <w:p w:rsidR="004C0315" w:rsidRPr="00166D8D" w:rsidRDefault="000F0FEB" w:rsidP="000F0FEB">
            <w:pPr>
              <w:tabs>
                <w:tab w:val="left" w:pos="0"/>
                <w:tab w:val="left" w:pos="720"/>
                <w:tab w:val="left" w:pos="1080"/>
              </w:tabs>
              <w:spacing w:before="120"/>
              <w:jc w:val="center"/>
              <w:rPr>
                <w:szCs w:val="24"/>
                <w:lang w:val="en-US"/>
              </w:rPr>
            </w:pPr>
            <w:r w:rsidRPr="00166D8D">
              <w:rPr>
                <w:szCs w:val="24"/>
                <w:lang w:val="en-US"/>
              </w:rPr>
              <w:t>15.12.2015.</w:t>
            </w:r>
            <w:bookmarkStart w:id="0" w:name="_GoBack"/>
            <w:bookmarkEnd w:id="0"/>
          </w:p>
        </w:tc>
      </w:tr>
    </w:tbl>
    <w:p w:rsidR="00D2673B" w:rsidRPr="00D2673B" w:rsidRDefault="00D2673B" w:rsidP="00D2673B">
      <w:pPr>
        <w:tabs>
          <w:tab w:val="left" w:pos="0"/>
          <w:tab w:val="left" w:pos="720"/>
          <w:tab w:val="left" w:pos="1080"/>
        </w:tabs>
        <w:rPr>
          <w:szCs w:val="24"/>
          <w:lang w:val="en-US"/>
        </w:rPr>
      </w:pPr>
    </w:p>
    <w:p w:rsidR="00D2673B" w:rsidRPr="00D2673B" w:rsidRDefault="00D2673B" w:rsidP="00D2673B">
      <w:pPr>
        <w:tabs>
          <w:tab w:val="left" w:pos="0"/>
          <w:tab w:val="left" w:pos="720"/>
          <w:tab w:val="left" w:pos="1080"/>
        </w:tabs>
        <w:jc w:val="both"/>
        <w:rPr>
          <w:szCs w:val="24"/>
          <w:lang w:val="en-US"/>
        </w:rPr>
      </w:pPr>
      <w:r w:rsidRPr="00D2673B">
        <w:rPr>
          <w:szCs w:val="24"/>
          <w:lang w:val="en-US"/>
        </w:rPr>
        <w:t xml:space="preserve">Outputs as defined above will be submitted to the Client in Croatian language. </w:t>
      </w:r>
    </w:p>
    <w:p w:rsidR="00D2673B" w:rsidRPr="00D2673B" w:rsidRDefault="00D2673B" w:rsidP="00D2673B">
      <w:pPr>
        <w:ind w:firstLine="708"/>
        <w:jc w:val="both"/>
        <w:rPr>
          <w:szCs w:val="24"/>
          <w:lang w:val="en-US"/>
        </w:rPr>
      </w:pPr>
      <w:r w:rsidRPr="00D2673B">
        <w:rPr>
          <w:szCs w:val="24"/>
          <w:lang w:val="en-US"/>
        </w:rPr>
        <w:t xml:space="preserve"> </w:t>
      </w:r>
    </w:p>
    <w:p w:rsidR="00D2673B" w:rsidRPr="008C0BEC" w:rsidRDefault="00D2673B" w:rsidP="008D5E33">
      <w:pPr>
        <w:spacing w:after="240"/>
        <w:jc w:val="both"/>
        <w:rPr>
          <w:szCs w:val="24"/>
          <w:lang w:val="en-US"/>
        </w:rPr>
      </w:pPr>
    </w:p>
    <w:sectPr w:rsidR="00D2673B" w:rsidRPr="008C0BEC" w:rsidSect="007C41DC">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E1" w:rsidRDefault="00DC6FE1" w:rsidP="008D5E33">
      <w:r>
        <w:separator/>
      </w:r>
    </w:p>
  </w:endnote>
  <w:endnote w:type="continuationSeparator" w:id="0">
    <w:p w:rsidR="00DC6FE1" w:rsidRDefault="00DC6FE1" w:rsidP="008D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E1" w:rsidRDefault="00DC6FE1" w:rsidP="008D5E33">
      <w:r>
        <w:separator/>
      </w:r>
    </w:p>
  </w:footnote>
  <w:footnote w:type="continuationSeparator" w:id="0">
    <w:p w:rsidR="00DC6FE1" w:rsidRDefault="00DC6FE1" w:rsidP="008D5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3A"/>
    <w:multiLevelType w:val="hybridMultilevel"/>
    <w:tmpl w:val="25FEC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02DB8"/>
    <w:multiLevelType w:val="hybridMultilevel"/>
    <w:tmpl w:val="CC3E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A287D"/>
    <w:multiLevelType w:val="hybridMultilevel"/>
    <w:tmpl w:val="0EC63FD6"/>
    <w:lvl w:ilvl="0" w:tplc="B6902B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2402D"/>
    <w:multiLevelType w:val="hybridMultilevel"/>
    <w:tmpl w:val="9A52A85A"/>
    <w:lvl w:ilvl="0" w:tplc="04090017">
      <w:start w:val="1"/>
      <w:numFmt w:val="lowerLetter"/>
      <w:lvlText w:val="%1)"/>
      <w:lvlJc w:val="left"/>
      <w:pPr>
        <w:tabs>
          <w:tab w:val="num" w:pos="1440"/>
        </w:tabs>
        <w:ind w:left="144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1F453B"/>
    <w:multiLevelType w:val="hybridMultilevel"/>
    <w:tmpl w:val="3170FBD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4A0C13"/>
    <w:multiLevelType w:val="hybridMultilevel"/>
    <w:tmpl w:val="AC98E5C6"/>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0272AB"/>
    <w:multiLevelType w:val="hybridMultilevel"/>
    <w:tmpl w:val="F3800778"/>
    <w:lvl w:ilvl="0" w:tplc="592448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149AE"/>
    <w:multiLevelType w:val="hybridMultilevel"/>
    <w:tmpl w:val="5BE2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44F31"/>
    <w:multiLevelType w:val="hybridMultilevel"/>
    <w:tmpl w:val="8A9E792E"/>
    <w:lvl w:ilvl="0" w:tplc="CA9C3D0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01248B"/>
    <w:multiLevelType w:val="hybridMultilevel"/>
    <w:tmpl w:val="ADE843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37583"/>
    <w:multiLevelType w:val="hybridMultilevel"/>
    <w:tmpl w:val="CF465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518222C"/>
    <w:multiLevelType w:val="hybridMultilevel"/>
    <w:tmpl w:val="CA6E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13235"/>
    <w:multiLevelType w:val="hybridMultilevel"/>
    <w:tmpl w:val="BDB457FC"/>
    <w:lvl w:ilvl="0" w:tplc="52AE6734">
      <w:start w:val="30"/>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3AE22840"/>
    <w:multiLevelType w:val="hybridMultilevel"/>
    <w:tmpl w:val="85D82A5E"/>
    <w:lvl w:ilvl="0" w:tplc="2BB6302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773BF"/>
    <w:multiLevelType w:val="hybridMultilevel"/>
    <w:tmpl w:val="18167766"/>
    <w:lvl w:ilvl="0" w:tplc="E020B19A">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nsid w:val="406778D5"/>
    <w:multiLevelType w:val="hybridMultilevel"/>
    <w:tmpl w:val="ACB63D9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124E2"/>
    <w:multiLevelType w:val="hybridMultilevel"/>
    <w:tmpl w:val="B4A480D2"/>
    <w:lvl w:ilvl="0" w:tplc="B6902B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C0A8C"/>
    <w:multiLevelType w:val="hybridMultilevel"/>
    <w:tmpl w:val="14BE273E"/>
    <w:lvl w:ilvl="0" w:tplc="B69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E311A"/>
    <w:multiLevelType w:val="hybridMultilevel"/>
    <w:tmpl w:val="671E8650"/>
    <w:lvl w:ilvl="0" w:tplc="C6A2C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FB2EF8"/>
    <w:multiLevelType w:val="hybridMultilevel"/>
    <w:tmpl w:val="4D1207C8"/>
    <w:lvl w:ilvl="0" w:tplc="B69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00D80"/>
    <w:multiLevelType w:val="hybridMultilevel"/>
    <w:tmpl w:val="0362096E"/>
    <w:lvl w:ilvl="0" w:tplc="187A69F2">
      <w:start w:val="30"/>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91A09D2"/>
    <w:multiLevelType w:val="hybridMultilevel"/>
    <w:tmpl w:val="976C7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8C0345"/>
    <w:multiLevelType w:val="hybridMultilevel"/>
    <w:tmpl w:val="9580E54E"/>
    <w:lvl w:ilvl="0" w:tplc="34726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033859"/>
    <w:multiLevelType w:val="hybridMultilevel"/>
    <w:tmpl w:val="1786D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CD805D4"/>
    <w:multiLevelType w:val="hybridMultilevel"/>
    <w:tmpl w:val="901E6388"/>
    <w:lvl w:ilvl="0" w:tplc="1D6C1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C286F"/>
    <w:multiLevelType w:val="hybridMultilevel"/>
    <w:tmpl w:val="D854CFD2"/>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D9335D"/>
    <w:multiLevelType w:val="hybridMultilevel"/>
    <w:tmpl w:val="80887752"/>
    <w:lvl w:ilvl="0" w:tplc="6CD20CC0">
      <w:start w:val="16"/>
      <w:numFmt w:val="bullet"/>
      <w:lvlText w:val="-"/>
      <w:lvlJc w:val="left"/>
      <w:pPr>
        <w:tabs>
          <w:tab w:val="num" w:pos="2034"/>
        </w:tabs>
        <w:ind w:left="203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61B793B"/>
    <w:multiLevelType w:val="hybridMultilevel"/>
    <w:tmpl w:val="B4C8EC24"/>
    <w:lvl w:ilvl="0" w:tplc="18AAB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5368D"/>
    <w:multiLevelType w:val="hybridMultilevel"/>
    <w:tmpl w:val="1AC0853A"/>
    <w:lvl w:ilvl="0" w:tplc="80CCA316">
      <w:start w:val="1"/>
      <w:numFmt w:val="decimal"/>
      <w:lvlText w:val="%1."/>
      <w:lvlJc w:val="left"/>
      <w:pPr>
        <w:tabs>
          <w:tab w:val="num" w:pos="1080"/>
        </w:tabs>
        <w:ind w:left="1080" w:hanging="720"/>
      </w:pPr>
    </w:lvl>
    <w:lvl w:ilvl="1" w:tplc="9ABEE5E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06524E2"/>
    <w:multiLevelType w:val="hybridMultilevel"/>
    <w:tmpl w:val="76261DE8"/>
    <w:lvl w:ilvl="0" w:tplc="B6902B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F031B5"/>
    <w:multiLevelType w:val="hybridMultilevel"/>
    <w:tmpl w:val="FECC9010"/>
    <w:lvl w:ilvl="0" w:tplc="BB509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6E31E2"/>
    <w:multiLevelType w:val="hybridMultilevel"/>
    <w:tmpl w:val="9BD83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9"/>
  </w:num>
  <w:num w:numId="7">
    <w:abstractNumId w:val="23"/>
  </w:num>
  <w:num w:numId="8">
    <w:abstractNumId w:val="30"/>
  </w:num>
  <w:num w:numId="9">
    <w:abstractNumId w:val="24"/>
  </w:num>
  <w:num w:numId="10">
    <w:abstractNumId w:val="27"/>
  </w:num>
  <w:num w:numId="11">
    <w:abstractNumId w:val="0"/>
  </w:num>
  <w:num w:numId="12">
    <w:abstractNumId w:val="10"/>
  </w:num>
  <w:num w:numId="13">
    <w:abstractNumId w:val="7"/>
  </w:num>
  <w:num w:numId="14">
    <w:abstractNumId w:val="19"/>
  </w:num>
  <w:num w:numId="15">
    <w:abstractNumId w:val="3"/>
  </w:num>
  <w:num w:numId="16">
    <w:abstractNumId w:val="29"/>
  </w:num>
  <w:num w:numId="17">
    <w:abstractNumId w:val="15"/>
  </w:num>
  <w:num w:numId="18">
    <w:abstractNumId w:val="25"/>
  </w:num>
  <w:num w:numId="19">
    <w:abstractNumId w:val="5"/>
  </w:num>
  <w:num w:numId="20">
    <w:abstractNumId w:val="2"/>
  </w:num>
  <w:num w:numId="21">
    <w:abstractNumId w:val="17"/>
  </w:num>
  <w:num w:numId="22">
    <w:abstractNumId w:val="21"/>
  </w:num>
  <w:num w:numId="23">
    <w:abstractNumId w:val="16"/>
  </w:num>
  <w:num w:numId="24">
    <w:abstractNumId w:val="6"/>
  </w:num>
  <w:num w:numId="25">
    <w:abstractNumId w:val="8"/>
  </w:num>
  <w:num w:numId="26">
    <w:abstractNumId w:val="18"/>
  </w:num>
  <w:num w:numId="27">
    <w:abstractNumId w:val="22"/>
  </w:num>
  <w:num w:numId="28">
    <w:abstractNumId w:val="11"/>
  </w:num>
  <w:num w:numId="29">
    <w:abstractNumId w:val="13"/>
  </w:num>
  <w:num w:numId="30">
    <w:abstractNumId w:val="20"/>
  </w:num>
  <w:num w:numId="31">
    <w:abstractNumId w:val="1"/>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33"/>
    <w:rsid w:val="00000157"/>
    <w:rsid w:val="0000546C"/>
    <w:rsid w:val="0001296A"/>
    <w:rsid w:val="0001755F"/>
    <w:rsid w:val="00017C9B"/>
    <w:rsid w:val="0003621F"/>
    <w:rsid w:val="00052EDC"/>
    <w:rsid w:val="00053D67"/>
    <w:rsid w:val="00057EAA"/>
    <w:rsid w:val="00062B6A"/>
    <w:rsid w:val="000635D2"/>
    <w:rsid w:val="00065316"/>
    <w:rsid w:val="00075951"/>
    <w:rsid w:val="000834C7"/>
    <w:rsid w:val="00084C5A"/>
    <w:rsid w:val="000B0DF4"/>
    <w:rsid w:val="000C5940"/>
    <w:rsid w:val="000D28C1"/>
    <w:rsid w:val="000D59EF"/>
    <w:rsid w:val="000D73D9"/>
    <w:rsid w:val="000E3CA1"/>
    <w:rsid w:val="000E4EEF"/>
    <w:rsid w:val="000E66E6"/>
    <w:rsid w:val="000F0FEB"/>
    <w:rsid w:val="000F3D53"/>
    <w:rsid w:val="000F5D15"/>
    <w:rsid w:val="00101B9D"/>
    <w:rsid w:val="001105E5"/>
    <w:rsid w:val="00110D04"/>
    <w:rsid w:val="001149C5"/>
    <w:rsid w:val="00117D8B"/>
    <w:rsid w:val="00136A4F"/>
    <w:rsid w:val="00154658"/>
    <w:rsid w:val="00161248"/>
    <w:rsid w:val="00166D8D"/>
    <w:rsid w:val="00172A57"/>
    <w:rsid w:val="00175C29"/>
    <w:rsid w:val="001772DC"/>
    <w:rsid w:val="001821AB"/>
    <w:rsid w:val="00192966"/>
    <w:rsid w:val="001941A5"/>
    <w:rsid w:val="001D7C2D"/>
    <w:rsid w:val="001E0252"/>
    <w:rsid w:val="001E6B51"/>
    <w:rsid w:val="00224198"/>
    <w:rsid w:val="0023483F"/>
    <w:rsid w:val="002551E9"/>
    <w:rsid w:val="00257CF4"/>
    <w:rsid w:val="002749AB"/>
    <w:rsid w:val="00290FFE"/>
    <w:rsid w:val="002A101F"/>
    <w:rsid w:val="002C0E0C"/>
    <w:rsid w:val="002C5D58"/>
    <w:rsid w:val="002D4E73"/>
    <w:rsid w:val="002D704C"/>
    <w:rsid w:val="002E5470"/>
    <w:rsid w:val="002E55BB"/>
    <w:rsid w:val="002F560A"/>
    <w:rsid w:val="003023A3"/>
    <w:rsid w:val="00303652"/>
    <w:rsid w:val="003104D3"/>
    <w:rsid w:val="003113BB"/>
    <w:rsid w:val="00311DB8"/>
    <w:rsid w:val="00316A57"/>
    <w:rsid w:val="00321C00"/>
    <w:rsid w:val="003220B5"/>
    <w:rsid w:val="00323855"/>
    <w:rsid w:val="003363A8"/>
    <w:rsid w:val="00341C7D"/>
    <w:rsid w:val="00343916"/>
    <w:rsid w:val="00360AB2"/>
    <w:rsid w:val="003660F0"/>
    <w:rsid w:val="00370A4B"/>
    <w:rsid w:val="003B1F4B"/>
    <w:rsid w:val="003B3963"/>
    <w:rsid w:val="003B761C"/>
    <w:rsid w:val="003C6D8D"/>
    <w:rsid w:val="003C732E"/>
    <w:rsid w:val="003D3FB8"/>
    <w:rsid w:val="003E4F38"/>
    <w:rsid w:val="003E5596"/>
    <w:rsid w:val="003F1414"/>
    <w:rsid w:val="003F5261"/>
    <w:rsid w:val="0042430D"/>
    <w:rsid w:val="00425FFA"/>
    <w:rsid w:val="0043561E"/>
    <w:rsid w:val="0044074C"/>
    <w:rsid w:val="00440A7C"/>
    <w:rsid w:val="00441C96"/>
    <w:rsid w:val="00444AB7"/>
    <w:rsid w:val="00444AFB"/>
    <w:rsid w:val="00445E1E"/>
    <w:rsid w:val="00447989"/>
    <w:rsid w:val="0045501A"/>
    <w:rsid w:val="00455520"/>
    <w:rsid w:val="00456710"/>
    <w:rsid w:val="004626C8"/>
    <w:rsid w:val="00467873"/>
    <w:rsid w:val="00477A01"/>
    <w:rsid w:val="00492436"/>
    <w:rsid w:val="0049282E"/>
    <w:rsid w:val="004A51C2"/>
    <w:rsid w:val="004A7116"/>
    <w:rsid w:val="004B3B55"/>
    <w:rsid w:val="004B6FB5"/>
    <w:rsid w:val="004C0315"/>
    <w:rsid w:val="004C109B"/>
    <w:rsid w:val="004E4638"/>
    <w:rsid w:val="004E6BC1"/>
    <w:rsid w:val="004E787E"/>
    <w:rsid w:val="00501454"/>
    <w:rsid w:val="00507420"/>
    <w:rsid w:val="005129CE"/>
    <w:rsid w:val="005220E4"/>
    <w:rsid w:val="00560BC4"/>
    <w:rsid w:val="00561045"/>
    <w:rsid w:val="00593B46"/>
    <w:rsid w:val="005A4DAC"/>
    <w:rsid w:val="005D536F"/>
    <w:rsid w:val="005D7127"/>
    <w:rsid w:val="005E0E3F"/>
    <w:rsid w:val="005F52EE"/>
    <w:rsid w:val="00603661"/>
    <w:rsid w:val="006058BF"/>
    <w:rsid w:val="00616627"/>
    <w:rsid w:val="006240BC"/>
    <w:rsid w:val="0064108B"/>
    <w:rsid w:val="00650C54"/>
    <w:rsid w:val="006556AB"/>
    <w:rsid w:val="0066081A"/>
    <w:rsid w:val="006913EC"/>
    <w:rsid w:val="00691C59"/>
    <w:rsid w:val="00693535"/>
    <w:rsid w:val="006B19DF"/>
    <w:rsid w:val="006C0C8D"/>
    <w:rsid w:val="006C450C"/>
    <w:rsid w:val="006C66E2"/>
    <w:rsid w:val="006C6BB9"/>
    <w:rsid w:val="006D0F00"/>
    <w:rsid w:val="006D21F6"/>
    <w:rsid w:val="006F1A25"/>
    <w:rsid w:val="006F30B6"/>
    <w:rsid w:val="006F59D3"/>
    <w:rsid w:val="006F79A8"/>
    <w:rsid w:val="00704CF9"/>
    <w:rsid w:val="007052C6"/>
    <w:rsid w:val="0070557B"/>
    <w:rsid w:val="00707BE4"/>
    <w:rsid w:val="00714DCB"/>
    <w:rsid w:val="0071653E"/>
    <w:rsid w:val="00727C71"/>
    <w:rsid w:val="0073673C"/>
    <w:rsid w:val="00770EFC"/>
    <w:rsid w:val="00773A01"/>
    <w:rsid w:val="007919FB"/>
    <w:rsid w:val="007961E7"/>
    <w:rsid w:val="007A624D"/>
    <w:rsid w:val="007A7B6D"/>
    <w:rsid w:val="007B174D"/>
    <w:rsid w:val="007C0DBC"/>
    <w:rsid w:val="007C41DC"/>
    <w:rsid w:val="007E1E35"/>
    <w:rsid w:val="007F1C41"/>
    <w:rsid w:val="008074BB"/>
    <w:rsid w:val="00815D3B"/>
    <w:rsid w:val="0081617E"/>
    <w:rsid w:val="0082190E"/>
    <w:rsid w:val="008229C8"/>
    <w:rsid w:val="00837E8E"/>
    <w:rsid w:val="008530B4"/>
    <w:rsid w:val="008547DB"/>
    <w:rsid w:val="00864E04"/>
    <w:rsid w:val="00870922"/>
    <w:rsid w:val="00871960"/>
    <w:rsid w:val="00874093"/>
    <w:rsid w:val="008740D8"/>
    <w:rsid w:val="0087549E"/>
    <w:rsid w:val="008757BC"/>
    <w:rsid w:val="008765A2"/>
    <w:rsid w:val="00877265"/>
    <w:rsid w:val="00883D5B"/>
    <w:rsid w:val="00886766"/>
    <w:rsid w:val="008900A6"/>
    <w:rsid w:val="008979B4"/>
    <w:rsid w:val="008B2650"/>
    <w:rsid w:val="008C0BEC"/>
    <w:rsid w:val="008C78F2"/>
    <w:rsid w:val="008D5E33"/>
    <w:rsid w:val="008D686E"/>
    <w:rsid w:val="008E2814"/>
    <w:rsid w:val="008F1F7D"/>
    <w:rsid w:val="008F22D6"/>
    <w:rsid w:val="0090114A"/>
    <w:rsid w:val="00910AB4"/>
    <w:rsid w:val="009151D9"/>
    <w:rsid w:val="009304D4"/>
    <w:rsid w:val="009436A3"/>
    <w:rsid w:val="00947EFD"/>
    <w:rsid w:val="009539C3"/>
    <w:rsid w:val="0096502A"/>
    <w:rsid w:val="00974D13"/>
    <w:rsid w:val="00985388"/>
    <w:rsid w:val="00996D91"/>
    <w:rsid w:val="00996E1F"/>
    <w:rsid w:val="009B3363"/>
    <w:rsid w:val="009B4C39"/>
    <w:rsid w:val="009B4F5E"/>
    <w:rsid w:val="009C039E"/>
    <w:rsid w:val="009C58D1"/>
    <w:rsid w:val="009C5E18"/>
    <w:rsid w:val="009E045F"/>
    <w:rsid w:val="009E2F5B"/>
    <w:rsid w:val="009F394A"/>
    <w:rsid w:val="009F5E9D"/>
    <w:rsid w:val="00A05247"/>
    <w:rsid w:val="00A22672"/>
    <w:rsid w:val="00A24530"/>
    <w:rsid w:val="00A503BD"/>
    <w:rsid w:val="00A562CF"/>
    <w:rsid w:val="00A66C0F"/>
    <w:rsid w:val="00A70E4B"/>
    <w:rsid w:val="00A86B6F"/>
    <w:rsid w:val="00A93D75"/>
    <w:rsid w:val="00AB36E0"/>
    <w:rsid w:val="00AC41C6"/>
    <w:rsid w:val="00B04F85"/>
    <w:rsid w:val="00B05E78"/>
    <w:rsid w:val="00B10984"/>
    <w:rsid w:val="00B3383A"/>
    <w:rsid w:val="00B35665"/>
    <w:rsid w:val="00B56709"/>
    <w:rsid w:val="00B6035B"/>
    <w:rsid w:val="00B671B4"/>
    <w:rsid w:val="00B722EF"/>
    <w:rsid w:val="00B90410"/>
    <w:rsid w:val="00B9311D"/>
    <w:rsid w:val="00BA33B1"/>
    <w:rsid w:val="00BB3FA9"/>
    <w:rsid w:val="00BC703C"/>
    <w:rsid w:val="00BD6434"/>
    <w:rsid w:val="00BD7ACA"/>
    <w:rsid w:val="00BE7D36"/>
    <w:rsid w:val="00C07C81"/>
    <w:rsid w:val="00C11A25"/>
    <w:rsid w:val="00C151C9"/>
    <w:rsid w:val="00C26218"/>
    <w:rsid w:val="00C407B6"/>
    <w:rsid w:val="00C4195A"/>
    <w:rsid w:val="00C647F5"/>
    <w:rsid w:val="00C70E4B"/>
    <w:rsid w:val="00C82486"/>
    <w:rsid w:val="00C859A2"/>
    <w:rsid w:val="00CA3A0C"/>
    <w:rsid w:val="00CD003C"/>
    <w:rsid w:val="00CD072D"/>
    <w:rsid w:val="00D10242"/>
    <w:rsid w:val="00D17C27"/>
    <w:rsid w:val="00D2673B"/>
    <w:rsid w:val="00D308F7"/>
    <w:rsid w:val="00D368D3"/>
    <w:rsid w:val="00D37596"/>
    <w:rsid w:val="00D37846"/>
    <w:rsid w:val="00D46CD7"/>
    <w:rsid w:val="00D60544"/>
    <w:rsid w:val="00D65549"/>
    <w:rsid w:val="00D665F7"/>
    <w:rsid w:val="00D83A25"/>
    <w:rsid w:val="00DA07AC"/>
    <w:rsid w:val="00DA751B"/>
    <w:rsid w:val="00DB5ABC"/>
    <w:rsid w:val="00DC6FE1"/>
    <w:rsid w:val="00DD7406"/>
    <w:rsid w:val="00DF3548"/>
    <w:rsid w:val="00E00A50"/>
    <w:rsid w:val="00E0198E"/>
    <w:rsid w:val="00E01C5B"/>
    <w:rsid w:val="00E10745"/>
    <w:rsid w:val="00E214D2"/>
    <w:rsid w:val="00E24490"/>
    <w:rsid w:val="00E47F16"/>
    <w:rsid w:val="00E503F2"/>
    <w:rsid w:val="00E56CD2"/>
    <w:rsid w:val="00E7127F"/>
    <w:rsid w:val="00E7239E"/>
    <w:rsid w:val="00E9417F"/>
    <w:rsid w:val="00EA5DF7"/>
    <w:rsid w:val="00EB4A93"/>
    <w:rsid w:val="00ED0316"/>
    <w:rsid w:val="00ED2E64"/>
    <w:rsid w:val="00ED5EF7"/>
    <w:rsid w:val="00ED6767"/>
    <w:rsid w:val="00F1294C"/>
    <w:rsid w:val="00F16AFA"/>
    <w:rsid w:val="00F436E5"/>
    <w:rsid w:val="00F46575"/>
    <w:rsid w:val="00F612D5"/>
    <w:rsid w:val="00F70E05"/>
    <w:rsid w:val="00F9260D"/>
    <w:rsid w:val="00FA0E68"/>
    <w:rsid w:val="00FA1083"/>
    <w:rsid w:val="00FC410B"/>
    <w:rsid w:val="00FD03D4"/>
    <w:rsid w:val="00FD30E1"/>
    <w:rsid w:val="00FD5019"/>
    <w:rsid w:val="00FD5267"/>
    <w:rsid w:val="00FE20E5"/>
    <w:rsid w:val="00FF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3"/>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semiHidden/>
    <w:unhideWhenUsed/>
    <w:qFormat/>
    <w:rsid w:val="008D5E33"/>
    <w:pPr>
      <w:keepNext/>
      <w:tabs>
        <w:tab w:val="left" w:pos="0"/>
        <w:tab w:val="left" w:pos="720"/>
        <w:tab w:val="left" w:pos="1080"/>
      </w:tabs>
      <w:spacing w:line="240" w:lineRule="atLeast"/>
      <w:jc w:val="center"/>
      <w:outlineLvl w:val="3"/>
    </w:pPr>
    <w:rPr>
      <w:rFonts w:ascii="Arial Unicode MS" w:hAnsi="Arial Unicode MS"/>
      <w:lang w:val="en-US" w:eastAsia="hr-HR"/>
    </w:rPr>
  </w:style>
  <w:style w:type="paragraph" w:styleId="Heading5">
    <w:name w:val="heading 5"/>
    <w:basedOn w:val="Normal"/>
    <w:next w:val="Normal"/>
    <w:link w:val="Heading5Char"/>
    <w:semiHidden/>
    <w:unhideWhenUsed/>
    <w:qFormat/>
    <w:rsid w:val="008D5E33"/>
    <w:pPr>
      <w:keepNext/>
      <w:tabs>
        <w:tab w:val="left" w:pos="0"/>
        <w:tab w:val="left" w:pos="720"/>
        <w:tab w:val="left" w:pos="1080"/>
      </w:tabs>
      <w:spacing w:line="240" w:lineRule="atLeast"/>
      <w:jc w:val="center"/>
      <w:outlineLvl w:val="4"/>
    </w:pPr>
    <w:rPr>
      <w:rFonts w:ascii="Arial Unicode MS" w:hAnsi="Arial Unicode MS"/>
      <w:b/>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D5E33"/>
    <w:rPr>
      <w:rFonts w:ascii="Arial Unicode MS" w:eastAsia="Times New Roman" w:hAnsi="Arial Unicode MS" w:cs="Times New Roman"/>
      <w:sz w:val="24"/>
      <w:szCs w:val="20"/>
      <w:lang w:eastAsia="hr-HR"/>
    </w:rPr>
  </w:style>
  <w:style w:type="character" w:customStyle="1" w:styleId="Heading5Char">
    <w:name w:val="Heading 5 Char"/>
    <w:basedOn w:val="DefaultParagraphFont"/>
    <w:link w:val="Heading5"/>
    <w:semiHidden/>
    <w:rsid w:val="008D5E33"/>
    <w:rPr>
      <w:rFonts w:ascii="Arial Unicode MS" w:eastAsia="Times New Roman" w:hAnsi="Arial Unicode MS" w:cs="Times New Roman"/>
      <w:b/>
      <w:sz w:val="24"/>
      <w:szCs w:val="20"/>
      <w:lang w:eastAsia="hr-HR"/>
    </w:rPr>
  </w:style>
  <w:style w:type="paragraph" w:styleId="FootnoteText">
    <w:name w:val="footnote text"/>
    <w:basedOn w:val="Normal"/>
    <w:link w:val="FootnoteTextChar"/>
    <w:semiHidden/>
    <w:unhideWhenUsed/>
    <w:rsid w:val="008D5E33"/>
    <w:rPr>
      <w:sz w:val="20"/>
      <w:lang w:val="en-US"/>
    </w:rPr>
  </w:style>
  <w:style w:type="character" w:customStyle="1" w:styleId="FootnoteTextChar">
    <w:name w:val="Footnote Text Char"/>
    <w:basedOn w:val="DefaultParagraphFont"/>
    <w:link w:val="FootnoteText"/>
    <w:semiHidden/>
    <w:rsid w:val="008D5E33"/>
    <w:rPr>
      <w:rFonts w:ascii="Times New Roman" w:eastAsia="Times New Roman" w:hAnsi="Times New Roman" w:cs="Times New Roman"/>
      <w:sz w:val="20"/>
      <w:szCs w:val="20"/>
    </w:rPr>
  </w:style>
  <w:style w:type="paragraph" w:styleId="BodyText">
    <w:name w:val="Body Text"/>
    <w:basedOn w:val="Normal"/>
    <w:link w:val="BodyTextChar"/>
    <w:unhideWhenUsed/>
    <w:rsid w:val="008D5E33"/>
    <w:pPr>
      <w:spacing w:after="120"/>
    </w:pPr>
  </w:style>
  <w:style w:type="character" w:customStyle="1" w:styleId="BodyTextChar">
    <w:name w:val="Body Text Char"/>
    <w:basedOn w:val="DefaultParagraphFont"/>
    <w:link w:val="BodyText"/>
    <w:rsid w:val="008D5E33"/>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8D5E33"/>
    <w:pPr>
      <w:tabs>
        <w:tab w:val="left" w:pos="360"/>
        <w:tab w:val="right" w:leader="dot" w:pos="8640"/>
      </w:tabs>
    </w:pPr>
    <w:rPr>
      <w:sz w:val="20"/>
      <w:szCs w:val="24"/>
      <w:lang w:val="en-US"/>
    </w:rPr>
  </w:style>
  <w:style w:type="character" w:customStyle="1" w:styleId="BodyText2Char">
    <w:name w:val="Body Text 2 Char"/>
    <w:basedOn w:val="DefaultParagraphFont"/>
    <w:link w:val="BodyText2"/>
    <w:semiHidden/>
    <w:rsid w:val="008D5E33"/>
    <w:rPr>
      <w:rFonts w:ascii="Times New Roman" w:eastAsia="Times New Roman" w:hAnsi="Times New Roman" w:cs="Times New Roman"/>
      <w:sz w:val="20"/>
      <w:szCs w:val="24"/>
    </w:rPr>
  </w:style>
  <w:style w:type="character" w:styleId="FootnoteReference">
    <w:name w:val="footnote reference"/>
    <w:basedOn w:val="DefaultParagraphFont"/>
    <w:semiHidden/>
    <w:unhideWhenUsed/>
    <w:rsid w:val="008D5E33"/>
    <w:rPr>
      <w:vertAlign w:val="superscript"/>
    </w:rPr>
  </w:style>
  <w:style w:type="paragraph" w:styleId="ListParagraph">
    <w:name w:val="List Paragraph"/>
    <w:basedOn w:val="Normal"/>
    <w:uiPriority w:val="34"/>
    <w:qFormat/>
    <w:rsid w:val="00F436E5"/>
    <w:pPr>
      <w:ind w:left="720"/>
      <w:contextualSpacing/>
    </w:pPr>
  </w:style>
  <w:style w:type="paragraph" w:styleId="BalloonText">
    <w:name w:val="Balloon Text"/>
    <w:basedOn w:val="Normal"/>
    <w:link w:val="BalloonTextChar"/>
    <w:uiPriority w:val="99"/>
    <w:semiHidden/>
    <w:unhideWhenUsed/>
    <w:rsid w:val="007919FB"/>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83D5B"/>
    <w:rPr>
      <w:sz w:val="16"/>
      <w:szCs w:val="16"/>
    </w:rPr>
  </w:style>
  <w:style w:type="paragraph" w:styleId="CommentText">
    <w:name w:val="annotation text"/>
    <w:basedOn w:val="Normal"/>
    <w:link w:val="CommentTextChar"/>
    <w:uiPriority w:val="99"/>
    <w:semiHidden/>
    <w:unhideWhenUsed/>
    <w:rsid w:val="00883D5B"/>
    <w:rPr>
      <w:sz w:val="20"/>
    </w:rPr>
  </w:style>
  <w:style w:type="character" w:customStyle="1" w:styleId="CommentTextChar">
    <w:name w:val="Comment Text Char"/>
    <w:basedOn w:val="DefaultParagraphFont"/>
    <w:link w:val="CommentText"/>
    <w:uiPriority w:val="99"/>
    <w:semiHidden/>
    <w:rsid w:val="00883D5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D5B"/>
    <w:rPr>
      <w:b/>
      <w:bCs/>
    </w:rPr>
  </w:style>
  <w:style w:type="character" w:customStyle="1" w:styleId="CommentSubjectChar">
    <w:name w:val="Comment Subject Char"/>
    <w:basedOn w:val="CommentTextChar"/>
    <w:link w:val="CommentSubject"/>
    <w:uiPriority w:val="99"/>
    <w:semiHidden/>
    <w:rsid w:val="00883D5B"/>
    <w:rPr>
      <w:rFonts w:ascii="Times New Roman" w:eastAsia="Times New Roman" w:hAnsi="Times New Roman" w:cs="Times New Roman"/>
      <w:b/>
      <w:bCs/>
      <w:sz w:val="20"/>
      <w:szCs w:val="20"/>
      <w:lang w:val="en-GB"/>
    </w:rPr>
  </w:style>
  <w:style w:type="paragraph" w:styleId="NormalWeb">
    <w:name w:val="Normal (Web)"/>
    <w:basedOn w:val="Normal"/>
    <w:rsid w:val="00C407B6"/>
    <w:pPr>
      <w:spacing w:before="60" w:after="60"/>
    </w:pPr>
    <w:rPr>
      <w:sz w:val="20"/>
      <w:lang w:eastAsia="en-GB"/>
    </w:rPr>
  </w:style>
  <w:style w:type="table" w:styleId="TableGrid">
    <w:name w:val="Table Grid"/>
    <w:basedOn w:val="TableNormal"/>
    <w:uiPriority w:val="59"/>
    <w:rsid w:val="0071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3D67"/>
    <w:pPr>
      <w:tabs>
        <w:tab w:val="center" w:pos="4703"/>
        <w:tab w:val="right" w:pos="9406"/>
      </w:tabs>
    </w:pPr>
  </w:style>
  <w:style w:type="character" w:customStyle="1" w:styleId="HeaderChar">
    <w:name w:val="Header Char"/>
    <w:basedOn w:val="DefaultParagraphFont"/>
    <w:link w:val="Header"/>
    <w:uiPriority w:val="99"/>
    <w:rsid w:val="00053D6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53D67"/>
    <w:pPr>
      <w:tabs>
        <w:tab w:val="center" w:pos="4703"/>
        <w:tab w:val="right" w:pos="9406"/>
      </w:tabs>
    </w:pPr>
  </w:style>
  <w:style w:type="character" w:customStyle="1" w:styleId="FooterChar">
    <w:name w:val="Footer Char"/>
    <w:basedOn w:val="DefaultParagraphFont"/>
    <w:link w:val="Footer"/>
    <w:uiPriority w:val="99"/>
    <w:rsid w:val="00053D67"/>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33"/>
    <w:pPr>
      <w:spacing w:after="0" w:line="240" w:lineRule="auto"/>
    </w:pPr>
    <w:rPr>
      <w:rFonts w:ascii="Times New Roman" w:eastAsia="Times New Roman" w:hAnsi="Times New Roman" w:cs="Times New Roman"/>
      <w:sz w:val="24"/>
      <w:szCs w:val="20"/>
      <w:lang w:val="en-GB"/>
    </w:rPr>
  </w:style>
  <w:style w:type="paragraph" w:styleId="Heading4">
    <w:name w:val="heading 4"/>
    <w:basedOn w:val="Normal"/>
    <w:next w:val="Normal"/>
    <w:link w:val="Heading4Char"/>
    <w:semiHidden/>
    <w:unhideWhenUsed/>
    <w:qFormat/>
    <w:rsid w:val="008D5E33"/>
    <w:pPr>
      <w:keepNext/>
      <w:tabs>
        <w:tab w:val="left" w:pos="0"/>
        <w:tab w:val="left" w:pos="720"/>
        <w:tab w:val="left" w:pos="1080"/>
      </w:tabs>
      <w:spacing w:line="240" w:lineRule="atLeast"/>
      <w:jc w:val="center"/>
      <w:outlineLvl w:val="3"/>
    </w:pPr>
    <w:rPr>
      <w:rFonts w:ascii="Arial Unicode MS" w:hAnsi="Arial Unicode MS"/>
      <w:lang w:val="en-US" w:eastAsia="hr-HR"/>
    </w:rPr>
  </w:style>
  <w:style w:type="paragraph" w:styleId="Heading5">
    <w:name w:val="heading 5"/>
    <w:basedOn w:val="Normal"/>
    <w:next w:val="Normal"/>
    <w:link w:val="Heading5Char"/>
    <w:semiHidden/>
    <w:unhideWhenUsed/>
    <w:qFormat/>
    <w:rsid w:val="008D5E33"/>
    <w:pPr>
      <w:keepNext/>
      <w:tabs>
        <w:tab w:val="left" w:pos="0"/>
        <w:tab w:val="left" w:pos="720"/>
        <w:tab w:val="left" w:pos="1080"/>
      </w:tabs>
      <w:spacing w:line="240" w:lineRule="atLeast"/>
      <w:jc w:val="center"/>
      <w:outlineLvl w:val="4"/>
    </w:pPr>
    <w:rPr>
      <w:rFonts w:ascii="Arial Unicode MS" w:hAnsi="Arial Unicode MS"/>
      <w:b/>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D5E33"/>
    <w:rPr>
      <w:rFonts w:ascii="Arial Unicode MS" w:eastAsia="Times New Roman" w:hAnsi="Arial Unicode MS" w:cs="Times New Roman"/>
      <w:sz w:val="24"/>
      <w:szCs w:val="20"/>
      <w:lang w:eastAsia="hr-HR"/>
    </w:rPr>
  </w:style>
  <w:style w:type="character" w:customStyle="1" w:styleId="Heading5Char">
    <w:name w:val="Heading 5 Char"/>
    <w:basedOn w:val="DefaultParagraphFont"/>
    <w:link w:val="Heading5"/>
    <w:semiHidden/>
    <w:rsid w:val="008D5E33"/>
    <w:rPr>
      <w:rFonts w:ascii="Arial Unicode MS" w:eastAsia="Times New Roman" w:hAnsi="Arial Unicode MS" w:cs="Times New Roman"/>
      <w:b/>
      <w:sz w:val="24"/>
      <w:szCs w:val="20"/>
      <w:lang w:eastAsia="hr-HR"/>
    </w:rPr>
  </w:style>
  <w:style w:type="paragraph" w:styleId="FootnoteText">
    <w:name w:val="footnote text"/>
    <w:basedOn w:val="Normal"/>
    <w:link w:val="FootnoteTextChar"/>
    <w:semiHidden/>
    <w:unhideWhenUsed/>
    <w:rsid w:val="008D5E33"/>
    <w:rPr>
      <w:sz w:val="20"/>
      <w:lang w:val="en-US"/>
    </w:rPr>
  </w:style>
  <w:style w:type="character" w:customStyle="1" w:styleId="FootnoteTextChar">
    <w:name w:val="Footnote Text Char"/>
    <w:basedOn w:val="DefaultParagraphFont"/>
    <w:link w:val="FootnoteText"/>
    <w:semiHidden/>
    <w:rsid w:val="008D5E33"/>
    <w:rPr>
      <w:rFonts w:ascii="Times New Roman" w:eastAsia="Times New Roman" w:hAnsi="Times New Roman" w:cs="Times New Roman"/>
      <w:sz w:val="20"/>
      <w:szCs w:val="20"/>
    </w:rPr>
  </w:style>
  <w:style w:type="paragraph" w:styleId="BodyText">
    <w:name w:val="Body Text"/>
    <w:basedOn w:val="Normal"/>
    <w:link w:val="BodyTextChar"/>
    <w:unhideWhenUsed/>
    <w:rsid w:val="008D5E33"/>
    <w:pPr>
      <w:spacing w:after="120"/>
    </w:pPr>
  </w:style>
  <w:style w:type="character" w:customStyle="1" w:styleId="BodyTextChar">
    <w:name w:val="Body Text Char"/>
    <w:basedOn w:val="DefaultParagraphFont"/>
    <w:link w:val="BodyText"/>
    <w:rsid w:val="008D5E33"/>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8D5E33"/>
    <w:pPr>
      <w:tabs>
        <w:tab w:val="left" w:pos="360"/>
        <w:tab w:val="right" w:leader="dot" w:pos="8640"/>
      </w:tabs>
    </w:pPr>
    <w:rPr>
      <w:sz w:val="20"/>
      <w:szCs w:val="24"/>
      <w:lang w:val="en-US"/>
    </w:rPr>
  </w:style>
  <w:style w:type="character" w:customStyle="1" w:styleId="BodyText2Char">
    <w:name w:val="Body Text 2 Char"/>
    <w:basedOn w:val="DefaultParagraphFont"/>
    <w:link w:val="BodyText2"/>
    <w:semiHidden/>
    <w:rsid w:val="008D5E33"/>
    <w:rPr>
      <w:rFonts w:ascii="Times New Roman" w:eastAsia="Times New Roman" w:hAnsi="Times New Roman" w:cs="Times New Roman"/>
      <w:sz w:val="20"/>
      <w:szCs w:val="24"/>
    </w:rPr>
  </w:style>
  <w:style w:type="character" w:styleId="FootnoteReference">
    <w:name w:val="footnote reference"/>
    <w:basedOn w:val="DefaultParagraphFont"/>
    <w:semiHidden/>
    <w:unhideWhenUsed/>
    <w:rsid w:val="008D5E33"/>
    <w:rPr>
      <w:vertAlign w:val="superscript"/>
    </w:rPr>
  </w:style>
  <w:style w:type="paragraph" w:styleId="ListParagraph">
    <w:name w:val="List Paragraph"/>
    <w:basedOn w:val="Normal"/>
    <w:uiPriority w:val="34"/>
    <w:qFormat/>
    <w:rsid w:val="00F436E5"/>
    <w:pPr>
      <w:ind w:left="720"/>
      <w:contextualSpacing/>
    </w:pPr>
  </w:style>
  <w:style w:type="paragraph" w:styleId="BalloonText">
    <w:name w:val="Balloon Text"/>
    <w:basedOn w:val="Normal"/>
    <w:link w:val="BalloonTextChar"/>
    <w:uiPriority w:val="99"/>
    <w:semiHidden/>
    <w:unhideWhenUsed/>
    <w:rsid w:val="007919FB"/>
    <w:rPr>
      <w:rFonts w:ascii="Tahoma" w:hAnsi="Tahoma" w:cs="Tahoma"/>
      <w:sz w:val="16"/>
      <w:szCs w:val="16"/>
    </w:rPr>
  </w:style>
  <w:style w:type="character" w:customStyle="1" w:styleId="BalloonTextChar">
    <w:name w:val="Balloon Text Char"/>
    <w:basedOn w:val="DefaultParagraphFont"/>
    <w:link w:val="BalloonText"/>
    <w:uiPriority w:val="99"/>
    <w:semiHidden/>
    <w:rsid w:val="007919F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83D5B"/>
    <w:rPr>
      <w:sz w:val="16"/>
      <w:szCs w:val="16"/>
    </w:rPr>
  </w:style>
  <w:style w:type="paragraph" w:styleId="CommentText">
    <w:name w:val="annotation text"/>
    <w:basedOn w:val="Normal"/>
    <w:link w:val="CommentTextChar"/>
    <w:uiPriority w:val="99"/>
    <w:semiHidden/>
    <w:unhideWhenUsed/>
    <w:rsid w:val="00883D5B"/>
    <w:rPr>
      <w:sz w:val="20"/>
    </w:rPr>
  </w:style>
  <w:style w:type="character" w:customStyle="1" w:styleId="CommentTextChar">
    <w:name w:val="Comment Text Char"/>
    <w:basedOn w:val="DefaultParagraphFont"/>
    <w:link w:val="CommentText"/>
    <w:uiPriority w:val="99"/>
    <w:semiHidden/>
    <w:rsid w:val="00883D5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D5B"/>
    <w:rPr>
      <w:b/>
      <w:bCs/>
    </w:rPr>
  </w:style>
  <w:style w:type="character" w:customStyle="1" w:styleId="CommentSubjectChar">
    <w:name w:val="Comment Subject Char"/>
    <w:basedOn w:val="CommentTextChar"/>
    <w:link w:val="CommentSubject"/>
    <w:uiPriority w:val="99"/>
    <w:semiHidden/>
    <w:rsid w:val="00883D5B"/>
    <w:rPr>
      <w:rFonts w:ascii="Times New Roman" w:eastAsia="Times New Roman" w:hAnsi="Times New Roman" w:cs="Times New Roman"/>
      <w:b/>
      <w:bCs/>
      <w:sz w:val="20"/>
      <w:szCs w:val="20"/>
      <w:lang w:val="en-GB"/>
    </w:rPr>
  </w:style>
  <w:style w:type="paragraph" w:styleId="NormalWeb">
    <w:name w:val="Normal (Web)"/>
    <w:basedOn w:val="Normal"/>
    <w:rsid w:val="00C407B6"/>
    <w:pPr>
      <w:spacing w:before="60" w:after="60"/>
    </w:pPr>
    <w:rPr>
      <w:sz w:val="20"/>
      <w:lang w:eastAsia="en-GB"/>
    </w:rPr>
  </w:style>
  <w:style w:type="table" w:styleId="TableGrid">
    <w:name w:val="Table Grid"/>
    <w:basedOn w:val="TableNormal"/>
    <w:uiPriority w:val="59"/>
    <w:rsid w:val="0071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3D67"/>
    <w:pPr>
      <w:tabs>
        <w:tab w:val="center" w:pos="4703"/>
        <w:tab w:val="right" w:pos="9406"/>
      </w:tabs>
    </w:pPr>
  </w:style>
  <w:style w:type="character" w:customStyle="1" w:styleId="HeaderChar">
    <w:name w:val="Header Char"/>
    <w:basedOn w:val="DefaultParagraphFont"/>
    <w:link w:val="Header"/>
    <w:uiPriority w:val="99"/>
    <w:rsid w:val="00053D6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53D67"/>
    <w:pPr>
      <w:tabs>
        <w:tab w:val="center" w:pos="4703"/>
        <w:tab w:val="right" w:pos="9406"/>
      </w:tabs>
    </w:pPr>
  </w:style>
  <w:style w:type="character" w:customStyle="1" w:styleId="FooterChar">
    <w:name w:val="Footer Char"/>
    <w:basedOn w:val="DefaultParagraphFont"/>
    <w:link w:val="Footer"/>
    <w:uiPriority w:val="99"/>
    <w:rsid w:val="00053D67"/>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81254">
      <w:bodyDiv w:val="1"/>
      <w:marLeft w:val="0"/>
      <w:marRight w:val="0"/>
      <w:marTop w:val="0"/>
      <w:marBottom w:val="0"/>
      <w:divBdr>
        <w:top w:val="none" w:sz="0" w:space="0" w:color="auto"/>
        <w:left w:val="none" w:sz="0" w:space="0" w:color="auto"/>
        <w:bottom w:val="none" w:sz="0" w:space="0" w:color="auto"/>
        <w:right w:val="none" w:sz="0" w:space="0" w:color="auto"/>
      </w:divBdr>
    </w:div>
    <w:div w:id="565803991">
      <w:bodyDiv w:val="1"/>
      <w:marLeft w:val="0"/>
      <w:marRight w:val="0"/>
      <w:marTop w:val="0"/>
      <w:marBottom w:val="0"/>
      <w:divBdr>
        <w:top w:val="none" w:sz="0" w:space="0" w:color="auto"/>
        <w:left w:val="none" w:sz="0" w:space="0" w:color="auto"/>
        <w:bottom w:val="none" w:sz="0" w:space="0" w:color="auto"/>
        <w:right w:val="none" w:sz="0" w:space="0" w:color="auto"/>
      </w:divBdr>
    </w:div>
    <w:div w:id="745035244">
      <w:bodyDiv w:val="1"/>
      <w:marLeft w:val="0"/>
      <w:marRight w:val="0"/>
      <w:marTop w:val="0"/>
      <w:marBottom w:val="0"/>
      <w:divBdr>
        <w:top w:val="none" w:sz="0" w:space="0" w:color="auto"/>
        <w:left w:val="none" w:sz="0" w:space="0" w:color="auto"/>
        <w:bottom w:val="none" w:sz="0" w:space="0" w:color="auto"/>
        <w:right w:val="none" w:sz="0" w:space="0" w:color="auto"/>
      </w:divBdr>
    </w:div>
    <w:div w:id="1330643373">
      <w:bodyDiv w:val="1"/>
      <w:marLeft w:val="0"/>
      <w:marRight w:val="0"/>
      <w:marTop w:val="0"/>
      <w:marBottom w:val="0"/>
      <w:divBdr>
        <w:top w:val="none" w:sz="0" w:space="0" w:color="auto"/>
        <w:left w:val="none" w:sz="0" w:space="0" w:color="auto"/>
        <w:bottom w:val="none" w:sz="0" w:space="0" w:color="auto"/>
        <w:right w:val="none" w:sz="0" w:space="0" w:color="auto"/>
      </w:divBdr>
    </w:div>
    <w:div w:id="1889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CEC7-B877-4945-9824-BFF19793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Vukadinović</dc:creator>
  <cp:lastModifiedBy>Dijana Ivašćanin</cp:lastModifiedBy>
  <cp:revision>3</cp:revision>
  <cp:lastPrinted>2014-10-28T09:07:00Z</cp:lastPrinted>
  <dcterms:created xsi:type="dcterms:W3CDTF">2015-09-04T10:50:00Z</dcterms:created>
  <dcterms:modified xsi:type="dcterms:W3CDTF">2015-09-09T07:26:00Z</dcterms:modified>
</cp:coreProperties>
</file>